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Bdr>
          <w:bottom w:val="single" w:color="2E78D2" w:sz="18" w:space="6"/>
        </w:pBdr>
        <w:spacing w:after="40"/>
      </w:pPr>
      <w:r>
        <w:rPr>
          <w:b/>
          <w:bCs/>
          <w:sz w:val="40"/>
          <w:szCs w:val="40"/>
        </w:rPr>
        <w:t xml:space="preserve">Extended Snipping Tool</w:t>
      </w:r>
    </w:p>
    <w:p>
      <w:pPr>
        <w:spacing w:after="240"/>
      </w:pPr>
      <w:r>
        <w:rPr>
          <w:color w:val="5B626B"/>
          <w:sz w:val="22"/>
          <w:szCs w:val="22"/>
        </w:rPr>
        <w:t xml:space="preserve">Guide de l’utilisateur · Juin 2026</w:t>
      </w:r>
    </w:p>
    <w:p>
      <w:pPr>
        <w:spacing w:after="200"/>
      </w:pPr>
      <w:r>
        <w:rPr>
          <w:color w:val="33383F"/>
          <w:sz w:val="23"/>
          <w:szCs w:val="23"/>
        </w:rPr>
        <w:t xml:space="preserve">Extended Snipping Tool est un utilitaire d’écran qui s’exécute dans la zone de notification (barre d’état système), à côté de l’horloge. Il réalise des captures d’écran et des vidéos d’écran, propose un éditeur d’image pour les annotations, et permet d’enregistrer, d’imprimer ou de copier les captures dans le presse-papiers – le tout par raccourcis clavier ou via le menu de la barre d’état.</w:t>
      </w:r>
    </w:p>
    <w:p>
      <w:pPr>
        <w:pStyle w:val="Heading1"/>
      </w:pPr>
      <w:r>
        <w:t xml:space="preserve">1. Premiers pas</w:t>
      </w:r>
    </w:p>
    <w:p>
      <w:pPr>
        <w:pStyle w:val="Heading2"/>
      </w:pPr>
      <w:r>
        <w:t xml:space="preserve">Installation</w:t>
      </w:r>
    </w:p>
    <w:p>
      <w:pPr>
        <w:spacing w:after="120"/>
      </w:pPr>
      <w:r>
        <w:t xml:space="preserve">Installez Extended Snipping Tool à l’aide du programme d’installation fourni. Il démarre ensuite et se place dans la zone de notification de la barre des tâches.</w:t>
      </w:r>
    </w:p>
    <w:p>
      <w:pPr>
        <w:pBdr>
          <w:left w:val="single" w:color="E0A012" w:sz="24" w:space="12"/>
        </w:pBdr>
        <w:shd w:fill="FFF7E6" w:val="clear"/>
        <w:spacing w:after="160" w:before="120"/>
        <w:ind w:left="120"/>
      </w:pPr>
      <w:r>
        <w:rPr>
          <w:b/>
          <w:bCs/>
        </w:rPr>
        <w:t xml:space="preserve">Message « … déjà installée à un autre endroit » </w:t>
      </w:r>
      <w:r>
        <w:br/>
        <w:t xml:space="preserve">Si, lors de l’installation, un message indique que l’application ne peut pas être démarrée depuis cet emplacement car elle est déjà installée à un autre endroit, quittez d’abord l’application (clic droit sur l’icône de la barre d’état → Quitter), puis désinstallez-la via le Panneau de configuration (Panneau de configuration → Programmes → Programmes et fonctionnalités, ou Paramètres Windows → Applications → Applications installées) et réinstallez-la. Le message apparaît lorsqu’une version précédente a été installée depuis un autre emplacement.</w:t>
      </w:r>
    </w:p>
    <w:p>
      <w:pPr>
        <w:pStyle w:val="Heading2"/>
      </w:pPr>
      <w:r>
        <w:t xml:space="preserve">Utilisation</w:t>
      </w:r>
    </w:p>
    <w:p>
      <w:pPr>
        <w:spacing w:after="120"/>
      </w:pPr>
      <w:r>
        <w:t xml:space="preserve">Après le démarrage, le programme apparaît sous forme d’icône dans la zone de notification de la barre des tâches. Un clic gauche sur l’icône ouvre le sélecteur d’action ; un clic droit ouvre le menu complet avec toutes les fonctions et les paramètres.</w:t>
      </w:r>
    </w:p>
    <w:p>
      <w:pPr>
        <w:spacing w:after="120"/>
      </w:pPr>
      <w:r>
        <w:t xml:space="preserve">L’outil s’exécute en permanence en arrière-plan et répond aux raccourcis enregistrés globalement – vous n’avez donc pas besoin de le mettre au premier plan pour réaliser une capture. Via le démarrage automatique, vous pouvez le faire démarrer automatiquement à chaque connexion (voir la section 8).</w:t>
      </w:r>
    </w:p>
    <w:p>
      <w:pPr>
        <w:pStyle w:val="Heading1"/>
      </w:pPr>
      <w:r>
        <w:t xml:space="preserve">2. Le menu de la barre d’état</w:t>
      </w:r>
    </w:p>
    <w:p>
      <w:pPr>
        <w:spacing w:after="120"/>
      </w:pPr>
      <w:r>
        <w:t xml:space="preserve">Un clic droit sur l’icône de la barre d’état ouvre le menu. Il est organisé en groupes :</w:t>
      </w:r>
    </w:p>
    <w:p>
      <w:pPr>
        <w:pStyle w:val="ListParagraph"/>
        <w:numPr>
          <w:ilvl w:val="0"/>
          <w:numId w:val="2"/>
        </w:numPr>
        <w:spacing w:after="60"/>
      </w:pPr>
      <w:r>
        <w:rPr>
          <w:b/>
          <w:bCs/>
        </w:rPr>
        <w:t xml:space="preserve">Sélectionner l’action… </w:t>
      </w:r>
      <w:r>
        <w:t xml:space="preserve">– une petite fenêtre de sélection pour tous les types de capture.</w:t>
      </w:r>
    </w:p>
    <w:p>
      <w:pPr>
        <w:pStyle w:val="ListParagraph"/>
        <w:numPr>
          <w:ilvl w:val="0"/>
          <w:numId w:val="2"/>
        </w:numPr>
        <w:spacing w:after="60"/>
      </w:pPr>
      <w:r>
        <w:rPr>
          <w:b/>
          <w:bCs/>
        </w:rPr>
        <w:t xml:space="preserve">Enregistrer </w:t>
      </w:r>
      <w:r>
        <w:t xml:space="preserve">– enregistrer une capture directement dans un fichier (plein écran / région).</w:t>
      </w:r>
    </w:p>
    <w:p>
      <w:pPr>
        <w:pStyle w:val="ListParagraph"/>
        <w:numPr>
          <w:ilvl w:val="0"/>
          <w:numId w:val="2"/>
        </w:numPr>
        <w:spacing w:after="60"/>
      </w:pPr>
      <w:r>
        <w:rPr>
          <w:b/>
          <w:bCs/>
        </w:rPr>
        <w:t xml:space="preserve">Copier dans le presse-papiers </w:t>
      </w:r>
      <w:r>
        <w:t xml:space="preserve">– copier une capture directement, sans fichier.</w:t>
      </w:r>
    </w:p>
    <w:p>
      <w:pPr>
        <w:pStyle w:val="ListParagraph"/>
        <w:numPr>
          <w:ilvl w:val="0"/>
          <w:numId w:val="2"/>
        </w:numPr>
        <w:spacing w:after="60"/>
      </w:pPr>
      <w:r>
        <w:rPr>
          <w:b/>
          <w:bCs/>
        </w:rPr>
        <w:t xml:space="preserve">Imprimer </w:t>
      </w:r>
      <w:r>
        <w:t xml:space="preserve">– sortir une capture via la boîte de dialogue d’impression.</w:t>
      </w:r>
    </w:p>
    <w:p>
      <w:pPr>
        <w:pStyle w:val="ListParagraph"/>
        <w:numPr>
          <w:ilvl w:val="0"/>
          <w:numId w:val="2"/>
        </w:numPr>
        <w:spacing w:after="60"/>
      </w:pPr>
      <w:r>
        <w:rPr>
          <w:b/>
          <w:bCs/>
        </w:rPr>
        <w:t xml:space="preserve">Modifier </w:t>
      </w:r>
      <w:r>
        <w:t xml:space="preserve">– ouvrir une capture dans l’éditeur et l’annoter.</w:t>
      </w:r>
    </w:p>
    <w:p>
      <w:pPr>
        <w:pStyle w:val="ListParagraph"/>
        <w:numPr>
          <w:ilvl w:val="0"/>
          <w:numId w:val="2"/>
        </w:numPr>
        <w:spacing w:after="60"/>
      </w:pPr>
      <w:r>
        <w:rPr>
          <w:b/>
          <w:bCs/>
        </w:rPr>
        <w:t xml:space="preserve">Enregistrer une vidéo </w:t>
      </w:r>
      <w:r>
        <w:t xml:space="preserve">– démarrer une vidéo d’écran (plein écran / région / application) et Arrêter l’enregistrement.</w:t>
      </w:r>
    </w:p>
    <w:p>
      <w:pPr>
        <w:pStyle w:val="ListParagraph"/>
        <w:numPr>
          <w:ilvl w:val="0"/>
          <w:numId w:val="2"/>
        </w:numPr>
        <w:spacing w:after="60"/>
      </w:pPr>
      <w:r>
        <w:rPr>
          <w:b/>
          <w:bCs/>
        </w:rPr>
        <w:t xml:space="preserve">Raccourcis…, Imprimer l’aide-mémoire, Langue, Démarrage automatique, Ouvrir la documentation, À propos… et Quitter </w:t>
      </w:r>
      <w:r>
        <w:t xml:space="preserve">– les autres entrées du menu.</w:t>
      </w:r>
    </w:p>
    <w:p>
      <w:pPr>
        <w:spacing w:after="120"/>
      </w:pPr>
      <w:r>
        <w:t xml:space="preserve">Chaque entrée de capture affiche le raccourci actuellement attribué entre parenthèses.</w:t>
      </w:r>
    </w:p>
    <w:p>
      <w:pPr>
        <w:pStyle w:val="Heading1"/>
      </w:pPr>
      <w:r>
        <w:t xml:space="preserve">3. Réaliser des captures d’écran</w:t>
      </w:r>
    </w:p>
    <w:p>
      <w:pPr>
        <w:spacing w:after="120"/>
      </w:pPr>
      <w:r>
        <w:t xml:space="preserve">Chaque action de capture existe en deux variantes : Plein écran capture immédiatement l’écran entier ; Région affiche un réticule avec lequel vous tracez une zone rectangulaire à la souris.</w:t>
      </w:r>
    </w:p>
    <w:p>
      <w:pPr>
        <w:spacing w:after="120"/>
      </w:pPr>
      <w:r>
        <w:t xml:space="preserve">Ce qui se passe ensuite avec la capture dépend de l’action choisie :</w:t>
      </w:r>
    </w:p>
    <w:tbl>
      <w:tblPr>
        <w:tblW w:type="dxa" w:w="9026"/>
        <w:tblBorders>
          <w:top w:val="single" w:color="CCCCCC" w:sz="1"/>
          <w:left w:val="single" w:color="CCCCCC" w:sz="1"/>
          <w:bottom w:val="single" w:color="CCCCCC" w:sz="1"/>
          <w:right w:val="single" w:color="CCCCCC" w:sz="1"/>
          <w:insideH w:val="single" w:color="CCCCCC" w:sz="1"/>
          <w:insideV w:val="single" w:color="CCCCCC" w:sz="1"/>
        </w:tblBorders>
      </w:tblPr>
      <w:tblGrid>
        <w:gridCol w:w="3400"/>
        <w:gridCol w:w="5626"/>
      </w:tblGrid>
      <w:tr>
        <w:trPr>
          <w:tblHeader/>
        </w:trPr>
        <w:tc>
          <w:tcPr>
            <w:tcW w:type="dxa" w:w="3400"/>
            <w:shd w:fill="F0F3F7" w:val="clear"/>
            <w:tcMar>
              <w:top w:type="dxa" w:w="60"/>
              <w:left w:type="dxa" w:w="120"/>
              <w:bottom w:type="dxa" w:w="60"/>
              <w:right w:type="dxa" w:w="120"/>
            </w:tcMar>
          </w:tcPr>
          <w:p>
            <w:r>
              <w:rPr>
                <w:b/>
                <w:bCs/>
              </w:rPr>
              <w:t xml:space="preserve">Action</w:t>
            </w:r>
          </w:p>
        </w:tc>
        <w:tc>
          <w:tcPr>
            <w:tcW w:type="dxa" w:w="5626"/>
            <w:shd w:fill="F0F3F7" w:val="clear"/>
            <w:tcMar>
              <w:top w:type="dxa" w:w="60"/>
              <w:left w:type="dxa" w:w="120"/>
              <w:bottom w:type="dxa" w:w="60"/>
              <w:right w:type="dxa" w:w="120"/>
            </w:tcMar>
          </w:tcPr>
          <w:p>
            <w:r>
              <w:rPr>
                <w:b/>
                <w:bCs/>
              </w:rPr>
              <w:t xml:space="preserve">Résultat</w:t>
            </w:r>
          </w:p>
        </w:tc>
      </w:tr>
      <w:tr>
        <w:tc>
          <w:tcPr>
            <w:tcW w:type="dxa" w:w="3400"/>
            <w:tcMar>
              <w:top w:type="dxa" w:w="60"/>
              <w:left w:type="dxa" w:w="120"/>
              <w:bottom w:type="dxa" w:w="60"/>
              <w:right w:type="dxa" w:w="120"/>
            </w:tcMar>
          </w:tcPr>
          <w:p>
            <w:r>
              <w:rPr>
                <w:b w:val="false"/>
                <w:bCs w:val="false"/>
              </w:rPr>
              <w:t xml:space="preserve">Enregistrer</w:t>
            </w:r>
          </w:p>
        </w:tc>
        <w:tc>
          <w:tcPr>
            <w:tcW w:type="dxa" w:w="5626"/>
            <w:tcMar>
              <w:top w:type="dxa" w:w="60"/>
              <w:left w:type="dxa" w:w="120"/>
              <w:bottom w:type="dxa" w:w="60"/>
              <w:right w:type="dxa" w:w="120"/>
            </w:tcMar>
          </w:tcPr>
          <w:p>
            <w:r>
              <w:rPr>
                <w:b w:val="false"/>
                <w:bCs w:val="false"/>
              </w:rPr>
              <w:t xml:space="preserve">Ouvre une boîte de dialogue d’enregistrement.</w:t>
            </w:r>
          </w:p>
        </w:tc>
      </w:tr>
      <w:tr>
        <w:tc>
          <w:tcPr>
            <w:tcW w:type="dxa" w:w="3400"/>
            <w:tcMar>
              <w:top w:type="dxa" w:w="60"/>
              <w:left w:type="dxa" w:w="120"/>
              <w:bottom w:type="dxa" w:w="60"/>
              <w:right w:type="dxa" w:w="120"/>
            </w:tcMar>
          </w:tcPr>
          <w:p>
            <w:r>
              <w:rPr>
                <w:b w:val="false"/>
                <w:bCs w:val="false"/>
              </w:rPr>
              <w:t xml:space="preserve">Copier dans le presse-papiers</w:t>
            </w:r>
          </w:p>
        </w:tc>
        <w:tc>
          <w:tcPr>
            <w:tcW w:type="dxa" w:w="5626"/>
            <w:tcMar>
              <w:top w:type="dxa" w:w="60"/>
              <w:left w:type="dxa" w:w="120"/>
              <w:bottom w:type="dxa" w:w="60"/>
              <w:right w:type="dxa" w:w="120"/>
            </w:tcMar>
          </w:tcPr>
          <w:p>
            <w:r>
              <w:rPr>
                <w:b w:val="false"/>
                <w:bCs w:val="false"/>
              </w:rPr>
              <w:t xml:space="preserve">Copie l’image immédiatement, sans fichier.</w:t>
            </w:r>
          </w:p>
        </w:tc>
      </w:tr>
      <w:tr>
        <w:tc>
          <w:tcPr>
            <w:tcW w:type="dxa" w:w="3400"/>
            <w:tcMar>
              <w:top w:type="dxa" w:w="60"/>
              <w:left w:type="dxa" w:w="120"/>
              <w:bottom w:type="dxa" w:w="60"/>
              <w:right w:type="dxa" w:w="120"/>
            </w:tcMar>
          </w:tcPr>
          <w:p>
            <w:r>
              <w:rPr>
                <w:b w:val="false"/>
                <w:bCs w:val="false"/>
              </w:rPr>
              <w:t xml:space="preserve">Imprimer</w:t>
            </w:r>
          </w:p>
        </w:tc>
        <w:tc>
          <w:tcPr>
            <w:tcW w:type="dxa" w:w="5626"/>
            <w:tcMar>
              <w:top w:type="dxa" w:w="60"/>
              <w:left w:type="dxa" w:w="120"/>
              <w:bottom w:type="dxa" w:w="60"/>
              <w:right w:type="dxa" w:w="120"/>
            </w:tcMar>
          </w:tcPr>
          <w:p>
            <w:r>
              <w:rPr>
                <w:b w:val="false"/>
                <w:bCs w:val="false"/>
              </w:rPr>
              <w:t xml:space="preserve">Ouvre la boîte de dialogue d’impression de Windows.</w:t>
            </w:r>
          </w:p>
        </w:tc>
      </w:tr>
      <w:tr>
        <w:tc>
          <w:tcPr>
            <w:tcW w:type="dxa" w:w="3400"/>
            <w:tcMar>
              <w:top w:type="dxa" w:w="60"/>
              <w:left w:type="dxa" w:w="120"/>
              <w:bottom w:type="dxa" w:w="60"/>
              <w:right w:type="dxa" w:w="120"/>
            </w:tcMar>
          </w:tcPr>
          <w:p>
            <w:r>
              <w:rPr>
                <w:b w:val="false"/>
                <w:bCs w:val="false"/>
              </w:rPr>
              <w:t xml:space="preserve">Modifier</w:t>
            </w:r>
          </w:p>
        </w:tc>
        <w:tc>
          <w:tcPr>
            <w:tcW w:type="dxa" w:w="5626"/>
            <w:tcMar>
              <w:top w:type="dxa" w:w="60"/>
              <w:left w:type="dxa" w:w="120"/>
              <w:bottom w:type="dxa" w:w="60"/>
              <w:right w:type="dxa" w:w="120"/>
            </w:tcMar>
          </w:tcPr>
          <w:p>
            <w:r>
              <w:rPr>
                <w:b w:val="false"/>
                <w:bCs w:val="false"/>
              </w:rPr>
              <w:t xml:space="preserve">Ouvre l’image dans l’éditeur (voir la section 4).</w:t>
            </w:r>
          </w:p>
        </w:tc>
      </w:tr>
    </w:tbl>
    <w:p>
      <w:pPr>
        <w:pStyle w:val="Heading2"/>
      </w:pPr>
      <w:r>
        <w:t xml:space="preserve">Formats de fichier</w:t>
      </w:r>
    </w:p>
    <w:p>
      <w:pPr>
        <w:spacing w:after="120"/>
      </w:pPr>
      <w:r>
        <w:t xml:space="preserve">Lors de l’enregistrement, les formats suivants sont disponibles (par défaut : PDF) : PDF, PNG, JPEG, BMP, TIFF et GIF. Le format est déterminé par l’extension de fichier choisie.</w:t>
      </w:r>
    </w:p>
    <w:p>
      <w:pPr>
        <w:pStyle w:val="Heading1"/>
      </w:pPr>
      <w:r>
        <w:t xml:space="preserve">4. L’éditeur d’image</w:t>
      </w:r>
    </w:p>
    <w:p>
      <w:pPr>
        <w:spacing w:after="120"/>
      </w:pPr>
      <w:r>
        <w:t xml:space="preserve">Via Modifier, la capture s’ouvre dans l’éditeur. Vous pouvez y annoter l’image, puis l’enregistrer, la copier ou l’imprimer. Outils disponibles :</w:t>
      </w:r>
    </w:p>
    <w:tbl>
      <w:tblPr>
        <w:tblW w:type="dxa" w:w="9026"/>
        <w:tblBorders>
          <w:top w:val="single" w:color="CCCCCC" w:sz="1"/>
          <w:left w:val="single" w:color="CCCCCC" w:sz="1"/>
          <w:bottom w:val="single" w:color="CCCCCC" w:sz="1"/>
          <w:right w:val="single" w:color="CCCCCC" w:sz="1"/>
          <w:insideH w:val="single" w:color="CCCCCC" w:sz="1"/>
          <w:insideV w:val="single" w:color="CCCCCC" w:sz="1"/>
        </w:tblBorders>
      </w:tblPr>
      <w:tblGrid>
        <w:gridCol w:w="3400"/>
        <w:gridCol w:w="5626"/>
      </w:tblGrid>
      <w:tr>
        <w:trPr>
          <w:tblHeader/>
        </w:trPr>
        <w:tc>
          <w:tcPr>
            <w:tcW w:type="dxa" w:w="3400"/>
            <w:shd w:fill="F0F3F7" w:val="clear"/>
            <w:tcMar>
              <w:top w:type="dxa" w:w="60"/>
              <w:left w:type="dxa" w:w="120"/>
              <w:bottom w:type="dxa" w:w="60"/>
              <w:right w:type="dxa" w:w="120"/>
            </w:tcMar>
          </w:tcPr>
          <w:p>
            <w:r>
              <w:rPr>
                <w:b/>
                <w:bCs/>
              </w:rPr>
              <w:t xml:space="preserve">Outil</w:t>
            </w:r>
          </w:p>
        </w:tc>
        <w:tc>
          <w:tcPr>
            <w:tcW w:type="dxa" w:w="5626"/>
            <w:shd w:fill="F0F3F7" w:val="clear"/>
            <w:tcMar>
              <w:top w:type="dxa" w:w="60"/>
              <w:left w:type="dxa" w:w="120"/>
              <w:bottom w:type="dxa" w:w="60"/>
              <w:right w:type="dxa" w:w="120"/>
            </w:tcMar>
          </w:tcPr>
          <w:p>
            <w:r>
              <w:rPr>
                <w:b/>
                <w:bCs/>
              </w:rPr>
              <w:t xml:space="preserve">Fonction</w:t>
            </w:r>
          </w:p>
        </w:tc>
      </w:tr>
      <w:tr>
        <w:tc>
          <w:tcPr>
            <w:tcW w:type="dxa" w:w="3400"/>
            <w:tcMar>
              <w:top w:type="dxa" w:w="60"/>
              <w:left w:type="dxa" w:w="120"/>
              <w:bottom w:type="dxa" w:w="60"/>
              <w:right w:type="dxa" w:w="120"/>
            </w:tcMar>
          </w:tcPr>
          <w:p>
            <w:r>
              <w:rPr>
                <w:b w:val="false"/>
                <w:bCs w:val="false"/>
              </w:rPr>
              <w:t xml:space="preserve">Sélection</w:t>
            </w:r>
          </w:p>
        </w:tc>
        <w:tc>
          <w:tcPr>
            <w:tcW w:type="dxa" w:w="5626"/>
            <w:tcMar>
              <w:top w:type="dxa" w:w="60"/>
              <w:left w:type="dxa" w:w="120"/>
              <w:bottom w:type="dxa" w:w="60"/>
              <w:right w:type="dxa" w:w="120"/>
            </w:tcMar>
          </w:tcPr>
          <w:p>
            <w:r>
              <w:rPr>
                <w:b w:val="false"/>
                <w:bCs w:val="false"/>
              </w:rPr>
              <w:t xml:space="preserve">Marquer, déplacer et ajuster des objets.</w:t>
            </w:r>
          </w:p>
        </w:tc>
      </w:tr>
      <w:tr>
        <w:tc>
          <w:tcPr>
            <w:tcW w:type="dxa" w:w="3400"/>
            <w:tcMar>
              <w:top w:type="dxa" w:w="60"/>
              <w:left w:type="dxa" w:w="120"/>
              <w:bottom w:type="dxa" w:w="60"/>
              <w:right w:type="dxa" w:w="120"/>
            </w:tcMar>
          </w:tcPr>
          <w:p>
            <w:r>
              <w:rPr>
                <w:b w:val="false"/>
                <w:bCs w:val="false"/>
              </w:rPr>
              <w:t xml:space="preserve">Crayon</w:t>
            </w:r>
          </w:p>
        </w:tc>
        <w:tc>
          <w:tcPr>
            <w:tcW w:type="dxa" w:w="5626"/>
            <w:tcMar>
              <w:top w:type="dxa" w:w="60"/>
              <w:left w:type="dxa" w:w="120"/>
              <w:bottom w:type="dxa" w:w="60"/>
              <w:right w:type="dxa" w:w="120"/>
            </w:tcMar>
          </w:tcPr>
          <w:p>
            <w:r>
              <w:rPr>
                <w:b w:val="false"/>
                <w:bCs w:val="false"/>
              </w:rPr>
              <w:t xml:space="preserve">Dessiner des traits à main levée.</w:t>
            </w:r>
          </w:p>
        </w:tc>
      </w:tr>
      <w:tr>
        <w:tc>
          <w:tcPr>
            <w:tcW w:type="dxa" w:w="3400"/>
            <w:tcMar>
              <w:top w:type="dxa" w:w="60"/>
              <w:left w:type="dxa" w:w="120"/>
              <w:bottom w:type="dxa" w:w="60"/>
              <w:right w:type="dxa" w:w="120"/>
            </w:tcMar>
          </w:tcPr>
          <w:p>
            <w:r>
              <w:rPr>
                <w:b w:val="false"/>
                <w:bCs w:val="false"/>
              </w:rPr>
              <w:t xml:space="preserve">Surligneur</w:t>
            </w:r>
          </w:p>
        </w:tc>
        <w:tc>
          <w:tcPr>
            <w:tcW w:type="dxa" w:w="5626"/>
            <w:tcMar>
              <w:top w:type="dxa" w:w="60"/>
              <w:left w:type="dxa" w:w="120"/>
              <w:bottom w:type="dxa" w:w="60"/>
              <w:right w:type="dxa" w:w="120"/>
            </w:tcMar>
          </w:tcPr>
          <w:p>
            <w:r>
              <w:rPr>
                <w:b w:val="false"/>
                <w:bCs w:val="false"/>
              </w:rPr>
              <w:t xml:space="preserve">Surligner en semi-transparence.</w:t>
            </w:r>
          </w:p>
        </w:tc>
      </w:tr>
      <w:tr>
        <w:tc>
          <w:tcPr>
            <w:tcW w:type="dxa" w:w="3400"/>
            <w:tcMar>
              <w:top w:type="dxa" w:w="60"/>
              <w:left w:type="dxa" w:w="120"/>
              <w:bottom w:type="dxa" w:w="60"/>
              <w:right w:type="dxa" w:w="120"/>
            </w:tcMar>
          </w:tcPr>
          <w:p>
            <w:r>
              <w:rPr>
                <w:b w:val="false"/>
                <w:bCs w:val="false"/>
              </w:rPr>
              <w:t xml:space="preserve">Gomme</w:t>
            </w:r>
          </w:p>
        </w:tc>
        <w:tc>
          <w:tcPr>
            <w:tcW w:type="dxa" w:w="5626"/>
            <w:tcMar>
              <w:top w:type="dxa" w:w="60"/>
              <w:left w:type="dxa" w:w="120"/>
              <w:bottom w:type="dxa" w:w="60"/>
              <w:right w:type="dxa" w:w="120"/>
            </w:tcMar>
          </w:tcPr>
          <w:p>
            <w:r>
              <w:rPr>
                <w:b w:val="false"/>
                <w:bCs w:val="false"/>
              </w:rPr>
              <w:t xml:space="preserve">Supprimer des annotations.</w:t>
            </w:r>
          </w:p>
        </w:tc>
      </w:tr>
      <w:tr>
        <w:tc>
          <w:tcPr>
            <w:tcW w:type="dxa" w:w="3400"/>
            <w:tcMar>
              <w:top w:type="dxa" w:w="60"/>
              <w:left w:type="dxa" w:w="120"/>
              <w:bottom w:type="dxa" w:w="60"/>
              <w:right w:type="dxa" w:w="120"/>
            </w:tcMar>
          </w:tcPr>
          <w:p>
            <w:r>
              <w:rPr>
                <w:b w:val="false"/>
                <w:bCs w:val="false"/>
              </w:rPr>
              <w:t xml:space="preserve">Texte</w:t>
            </w:r>
          </w:p>
        </w:tc>
        <w:tc>
          <w:tcPr>
            <w:tcW w:type="dxa" w:w="5626"/>
            <w:tcMar>
              <w:top w:type="dxa" w:w="60"/>
              <w:left w:type="dxa" w:w="120"/>
              <w:bottom w:type="dxa" w:w="60"/>
              <w:right w:type="dxa" w:w="120"/>
            </w:tcMar>
          </w:tcPr>
          <w:p>
            <w:r>
              <w:rPr>
                <w:b w:val="false"/>
                <w:bCs w:val="false"/>
              </w:rPr>
              <w:t xml:space="preserve">Insérer des libellés (police réglable).</w:t>
            </w:r>
          </w:p>
        </w:tc>
      </w:tr>
      <w:tr>
        <w:tc>
          <w:tcPr>
            <w:tcW w:type="dxa" w:w="3400"/>
            <w:tcMar>
              <w:top w:type="dxa" w:w="60"/>
              <w:left w:type="dxa" w:w="120"/>
              <w:bottom w:type="dxa" w:w="60"/>
              <w:right w:type="dxa" w:w="120"/>
            </w:tcMar>
          </w:tcPr>
          <w:p>
            <w:r>
              <w:rPr>
                <w:b w:val="false"/>
                <w:bCs w:val="false"/>
              </w:rPr>
              <w:t xml:space="preserve">Formes</w:t>
            </w:r>
          </w:p>
        </w:tc>
        <w:tc>
          <w:tcPr>
            <w:tcW w:type="dxa" w:w="5626"/>
            <w:tcMar>
              <w:top w:type="dxa" w:w="60"/>
              <w:left w:type="dxa" w:w="120"/>
              <w:bottom w:type="dxa" w:w="60"/>
              <w:right w:type="dxa" w:w="120"/>
            </w:tcMar>
          </w:tcPr>
          <w:p>
            <w:r>
              <w:rPr>
                <w:b w:val="false"/>
                <w:bCs w:val="false"/>
              </w:rPr>
              <w:t xml:space="preserve">Ligne, flèche, rectangle, rectangle arrondi, ellipse, triangle, losange et étoile.</w:t>
            </w:r>
          </w:p>
        </w:tc>
      </w:tr>
      <w:tr>
        <w:tc>
          <w:tcPr>
            <w:tcW w:type="dxa" w:w="3400"/>
            <w:tcMar>
              <w:top w:type="dxa" w:w="60"/>
              <w:left w:type="dxa" w:w="120"/>
              <w:bottom w:type="dxa" w:w="60"/>
              <w:right w:type="dxa" w:w="120"/>
            </w:tcMar>
          </w:tcPr>
          <w:p>
            <w:r>
              <w:rPr>
                <w:b w:val="false"/>
                <w:bCs w:val="false"/>
              </w:rPr>
              <w:t xml:space="preserve">Couleur / épaisseur du trait</w:t>
            </w:r>
          </w:p>
        </w:tc>
        <w:tc>
          <w:tcPr>
            <w:tcW w:type="dxa" w:w="5626"/>
            <w:tcMar>
              <w:top w:type="dxa" w:w="60"/>
              <w:left w:type="dxa" w:w="120"/>
              <w:bottom w:type="dxa" w:w="60"/>
              <w:right w:type="dxa" w:w="120"/>
            </w:tcMar>
          </w:tcPr>
          <w:p>
            <w:r>
              <w:rPr>
                <w:b w:val="false"/>
                <w:bCs w:val="false"/>
              </w:rPr>
              <w:t xml:space="preserve">Couleur et épaisseur du trait pour tous les outils.</w:t>
            </w:r>
          </w:p>
        </w:tc>
      </w:tr>
      <w:tr>
        <w:tc>
          <w:tcPr>
            <w:tcW w:type="dxa" w:w="3400"/>
            <w:tcMar>
              <w:top w:type="dxa" w:w="60"/>
              <w:left w:type="dxa" w:w="120"/>
              <w:bottom w:type="dxa" w:w="60"/>
              <w:right w:type="dxa" w:w="120"/>
            </w:tcMar>
          </w:tcPr>
          <w:p>
            <w:r>
              <w:rPr>
                <w:b w:val="false"/>
                <w:bCs w:val="false"/>
              </w:rPr>
              <w:t xml:space="preserve">Annuler</w:t>
            </w:r>
          </w:p>
        </w:tc>
        <w:tc>
          <w:tcPr>
            <w:tcW w:type="dxa" w:w="5626"/>
            <w:tcMar>
              <w:top w:type="dxa" w:w="60"/>
              <w:left w:type="dxa" w:w="120"/>
              <w:bottom w:type="dxa" w:w="60"/>
              <w:right w:type="dxa" w:w="120"/>
            </w:tcMar>
          </w:tcPr>
          <w:p>
            <w:r>
              <w:rPr>
                <w:b w:val="false"/>
                <w:bCs w:val="false"/>
              </w:rPr>
              <w:t xml:space="preserve">Annuler la dernière étape.</w:t>
            </w:r>
          </w:p>
        </w:tc>
      </w:tr>
    </w:tbl>
    <w:p>
      <w:pPr>
        <w:spacing w:after="120"/>
      </w:pPr>
      <w:r>
        <w:t xml:space="preserve">Pour finir, l’éditeur propose Enregistrer sous…, Copier dans le presse-papiers et Imprimer.</w:t>
      </w:r>
    </w:p>
    <w:p>
      <w:pPr>
        <w:pStyle w:val="Heading1"/>
      </w:pPr>
      <w:r>
        <w:t xml:space="preserve">5. Enregistrer une vidéo d’écran</w:t>
      </w:r>
    </w:p>
    <w:p>
      <w:pPr>
        <w:spacing w:after="120"/>
      </w:pPr>
      <w:r>
        <w:t xml:space="preserve">Avec Enregistrer une vidéo, vous enregistrez l’écran sous forme de fichier vidéo. Il existe trois variantes : l’écran entier, une région que vous tracez, ou une application précise (fenêtre).</w:t>
      </w:r>
    </w:p>
    <w:p>
      <w:pPr>
        <w:pStyle w:val="Heading2"/>
      </w:pPr>
      <w:r>
        <w:t xml:space="preserve">Déroulement</w:t>
      </w:r>
    </w:p>
    <w:p>
      <w:pPr>
        <w:pStyle w:val="ListParagraph"/>
        <w:numPr>
          <w:ilvl w:val="0"/>
          <w:numId w:val="3"/>
        </w:numPr>
        <w:spacing w:after="80"/>
      </w:pPr>
      <w:r>
        <w:t xml:space="preserve">Démarrez l’enregistrement via le menu de la barre d’état ou un raccourci (pour « Région », tracez d’abord la zone ; pour « Application », sélectionnez la fenêtre – voir ci-dessous).</w:t>
      </w:r>
    </w:p>
    <w:p>
      <w:pPr>
        <w:pStyle w:val="ListParagraph"/>
        <w:numPr>
          <w:ilvl w:val="0"/>
          <w:numId w:val="3"/>
        </w:numPr>
        <w:spacing w:after="80"/>
      </w:pPr>
      <w:r>
        <w:t xml:space="preserve">Un compte à rebours apparaît. Il sert de délai préalable et n’apparaît pas dans la vidéo. Pendant le compte à rebours, vous décidez si le son est enregistré (voir la section 6). Annulez avec Échap ou en cliquant sur l’arrière-plan.</w:t>
      </w:r>
    </w:p>
    <w:p>
      <w:pPr>
        <w:pStyle w:val="ListParagraph"/>
        <w:numPr>
          <w:ilvl w:val="0"/>
          <w:numId w:val="3"/>
        </w:numPr>
        <w:spacing w:after="80"/>
      </w:pPr>
      <w:r>
        <w:t xml:space="preserve">Après le compte à rebours, l’enregistrement démarre ; une petite barre affiche la durée écoulée et un bouton Arrêter. Vous pouvez aussi arrêter via le menu de la barre d’état (Arrêter l’enregistrement).</w:t>
      </w:r>
    </w:p>
    <w:p>
      <w:pPr>
        <w:pStyle w:val="ListParagraph"/>
        <w:numPr>
          <w:ilvl w:val="0"/>
          <w:numId w:val="3"/>
        </w:numPr>
        <w:spacing w:after="80"/>
      </w:pPr>
      <w:r>
        <w:t xml:space="preserve">Après l’arrêt, le programme demande où enregistrer le fichier.</w:t>
      </w:r>
    </w:p>
    <w:p>
      <w:pPr>
        <w:pStyle w:val="Heading2"/>
      </w:pPr>
      <w:r>
        <w:t xml:space="preserve">Mode « Application » – enregistrer une fenêtre</w:t>
      </w:r>
    </w:p>
    <w:p>
      <w:pPr>
        <w:spacing w:after="120"/>
      </w:pPr>
      <w:r>
        <w:t xml:space="preserve">Avec Enregistrer une vidéo – Application, vous choisissez d’abord la fenêtre à enregistrer dans une liste. Chaque entrée affiche la fenêtre (titre), le nom de l’application et l’icône de l’application ; la boîte de dialogue de sélection reste toujours au premier plan.</w:t>
      </w:r>
    </w:p>
    <w:p>
      <w:pPr>
        <w:spacing w:after="120"/>
      </w:pPr>
      <w:r>
        <w:t xml:space="preserve">L’enregistrement reste ensuite focalisé sur cette fenêtre : si vous la déplacez, la « caméra » suit la nouvelle position ; si vous la redimensionnez, le contenu est ajusté à la taille vidéo fixe en conservant les proportions (avec des bandes noires si nécessaire). La taille de la vidéo est définie à partir de la taille de la fenêtre au démarrage.</w:t>
      </w:r>
    </w:p>
    <w:p>
      <w:pPr>
        <w:pStyle w:val="ListParagraph"/>
        <w:numPr>
          <w:ilvl w:val="0"/>
          <w:numId w:val="2"/>
        </w:numPr>
        <w:spacing w:after="60"/>
      </w:pPr>
      <w:r>
        <w:t xml:space="preserve">Une fenêtre réduite apparaît également dans la liste et est automatiquement restaurée et mise au premier plan au démarrage de l’enregistrement.</w:t>
      </w:r>
    </w:p>
    <w:p>
      <w:pPr>
        <w:pStyle w:val="ListParagraph"/>
        <w:numPr>
          <w:ilvl w:val="0"/>
          <w:numId w:val="2"/>
        </w:numPr>
        <w:spacing w:after="60"/>
      </w:pPr>
      <w:r>
        <w:t xml:space="preserve">Si la fenêtre est fermée, l’enregistrement se termine automatiquement. Si elle est brièvement réduite, le programme enregistre une image noire pendant ce temps puis reprend normalement.</w:t>
      </w:r>
    </w:p>
    <w:p>
      <w:pPr>
        <w:pStyle w:val="ListParagraph"/>
        <w:numPr>
          <w:ilvl w:val="0"/>
          <w:numId w:val="2"/>
        </w:numPr>
        <w:spacing w:after="60"/>
      </w:pPr>
      <w:r>
        <w:t xml:space="preserve">C’est la zone à l’écran de la fenêtre qui est capturée (ce qui est visible). Si une autre fenêtre la recouvre temporairement, cela apparaît dans la vidéo.</w:t>
      </w:r>
    </w:p>
    <w:p>
      <w:pPr>
        <w:pStyle w:val="Heading2"/>
      </w:pPr>
      <w:r>
        <w:t xml:space="preserve">Remarques techniques</w:t>
      </w:r>
    </w:p>
    <w:p>
      <w:pPr>
        <w:pStyle w:val="ListParagraph"/>
        <w:numPr>
          <w:ilvl w:val="0"/>
          <w:numId w:val="2"/>
        </w:numPr>
        <w:spacing w:after="60"/>
      </w:pPr>
      <w:r>
        <w:t xml:space="preserve">La vidéo est écrite au format AVI (Motion-JPEG) et se lit notamment avec le Lecteur Windows Media et VLC.</w:t>
      </w:r>
    </w:p>
    <w:p>
      <w:pPr>
        <w:pStyle w:val="ListParagraph"/>
        <w:numPr>
          <w:ilvl w:val="0"/>
          <w:numId w:val="2"/>
        </w:numPr>
        <w:spacing w:after="60"/>
      </w:pPr>
      <w:r>
        <w:t xml:space="preserve">Le pointeur de la souris est également enregistré.</w:t>
      </w:r>
    </w:p>
    <w:p>
      <w:pPr>
        <w:pStyle w:val="ListParagraph"/>
        <w:numPr>
          <w:ilvl w:val="0"/>
          <w:numId w:val="2"/>
        </w:numPr>
        <w:spacing w:after="60"/>
      </w:pPr>
      <w:r>
        <w:t xml:space="preserve">Vous définissez le délai du compte à rebours sous Raccourcis… (champ « Délai avant l’enregistrement »). La valeur 0 démarre sans compte à rebours – les derniers réglages audio enregistrés s’appliquent alors.</w:t>
      </w:r>
    </w:p>
    <w:p>
      <w:pPr>
        <w:pStyle w:val="ListParagraph"/>
        <w:numPr>
          <w:ilvl w:val="0"/>
          <w:numId w:val="2"/>
        </w:numPr>
        <w:spacing w:after="60"/>
      </w:pPr>
      <w:r>
        <w:t xml:space="preserve">En raison du format AVI, un enregistrement est limité à un peu moins de 2 Go ; le programme termine proprement l’enregistrement avant d’atteindre cette limite.</w:t>
      </w:r>
    </w:p>
    <w:p>
      <w:pPr>
        <w:pStyle w:val="Heading1"/>
      </w:pPr>
      <w:r>
        <w:t xml:space="preserve">6. Enregistrer le son (système et microphone)</w:t>
      </w:r>
    </w:p>
    <w:p>
      <w:pPr>
        <w:spacing w:after="120"/>
      </w:pPr>
      <w:r>
        <w:t xml:space="preserve">Pendant le compte à rebours, vous voyez deux commutateurs sous le compteur :</w:t>
      </w:r>
    </w:p>
    <w:p>
      <w:pPr>
        <w:pStyle w:val="ListParagraph"/>
        <w:numPr>
          <w:ilvl w:val="0"/>
          <w:numId w:val="2"/>
        </w:numPr>
        <w:spacing w:after="60"/>
      </w:pPr>
      <w:r>
        <w:rPr>
          <w:b/>
          <w:bCs/>
        </w:rPr>
        <w:t xml:space="preserve">Audio de l’ordinateur </w:t>
      </w:r>
      <w:r>
        <w:t xml:space="preserve">– enregistre le son qui joue sur le périphérique de lecture par défaut (sons système, musique, audio des vidéos).</w:t>
      </w:r>
    </w:p>
    <w:p>
      <w:pPr>
        <w:pStyle w:val="ListParagraph"/>
        <w:numPr>
          <w:ilvl w:val="0"/>
          <w:numId w:val="2"/>
        </w:numPr>
        <w:spacing w:after="60"/>
      </w:pPr>
      <w:r>
        <w:rPr>
          <w:b/>
          <w:bCs/>
        </w:rPr>
        <w:t xml:space="preserve">Microphone </w:t>
      </w:r>
      <w:r>
        <w:t xml:space="preserve">– enregistre le périphérique de capture par défaut.</w:t>
      </w:r>
    </w:p>
    <w:p>
      <w:pPr>
        <w:spacing w:after="120"/>
      </w:pPr>
      <w:r>
        <w:t xml:space="preserve">Les deux sources peuvent être activées séparément ou ensemble. Si les deux sont actives, elles sont mélangées et écrites ensemble dans le fichier vidéo. La sélection effectuée est mémorisée et préréglée la fois suivante.</w:t>
      </w:r>
    </w:p>
    <w:p>
      <w:pPr>
        <w:pBdr>
          <w:left w:val="single" w:color="2E78D2" w:sz="24" w:space="12"/>
        </w:pBdr>
        <w:shd w:fill="EEF4FC" w:val="clear"/>
        <w:spacing w:after="160" w:before="120"/>
        <w:ind w:left="120"/>
      </w:pPr>
      <w:r>
        <w:rPr>
          <w:b/>
          <w:bCs/>
        </w:rPr>
        <w:t xml:space="preserve">Gain du microphone </w:t>
      </w:r>
      <w:r>
        <w:br/>
        <w:t xml:space="preserve">Les microphones sont souvent très faibles dans l’enregistrement. Sous Raccourcis…, il y a le champ Gain du microphone (valeurs 1–20). Augmentez la valeur progressivement jusqu’à ce que la parole soit clairement audible sans saturer. En complément, il est utile d’augmenter le niveau d’entrée ou l’amplification du microphone de l’appareil dans les paramètres de son de Windows.</w:t>
      </w:r>
    </w:p>
    <w:p>
      <w:pPr>
        <w:pBdr>
          <w:left w:val="single" w:color="E0A012" w:sz="24" w:space="12"/>
        </w:pBdr>
        <w:shd w:fill="FFF7E6" w:val="clear"/>
        <w:spacing w:after="160" w:before="120"/>
        <w:ind w:left="120"/>
      </w:pPr>
      <w:r>
        <w:rPr>
          <w:b/>
          <w:bCs/>
        </w:rPr>
        <w:t xml:space="preserve">Le microphone ne produit aucun son ou un son trop faible ? </w:t>
      </w:r>
      <w:r>
        <w:br/>
        <w:t xml:space="preserve">Les programmes de bureau classiques nécessitent leur propre autorisation de microphone sous Windows. Activez-la sous Paramètres → Confidentialité et sécurité → Microphone – en particulier l’option « Autoriser les applications de bureau à accéder à votre microphone ». Sans cette autorisation, la piste du microphone reste muette. Voir la section 9 pour plus de détails.</w:t>
      </w:r>
    </w:p>
    <w:p>
      <w:pPr>
        <w:pStyle w:val="Heading1"/>
      </w:pPr>
      <w:r>
        <w:t xml:space="preserve">7. Personnaliser les raccourcis</w:t>
      </w:r>
    </w:p>
    <w:p>
      <w:pPr>
        <w:spacing w:after="120"/>
      </w:pPr>
      <w:r>
        <w:t xml:space="preserve">Via Raccourcis…, vous ouvrez les paramètres. Cliquez dans un champ et appuyez sur la combinaison souhaitée (avec Ctrl / Alt / Maj). Dans la même boîte de dialogue, vous définissez le délai préalable de l’enregistrement et le gain du microphone.</w:t>
      </w:r>
    </w:p>
    <w:p>
      <w:pPr>
        <w:pStyle w:val="Heading2"/>
      </w:pPr>
      <w:r>
        <w:t xml:space="preserve">Affectation par défaut</w:t>
      </w:r>
    </w:p>
    <w:tbl>
      <w:tblPr>
        <w:tblW w:type="dxa" w:w="9026"/>
        <w:tblBorders>
          <w:top w:val="single" w:color="CCCCCC" w:sz="1"/>
          <w:left w:val="single" w:color="CCCCCC" w:sz="1"/>
          <w:bottom w:val="single" w:color="CCCCCC" w:sz="1"/>
          <w:right w:val="single" w:color="CCCCCC" w:sz="1"/>
          <w:insideH w:val="single" w:color="CCCCCC" w:sz="1"/>
          <w:insideV w:val="single" w:color="CCCCCC" w:sz="1"/>
        </w:tblBorders>
      </w:tblPr>
      <w:tblGrid>
        <w:gridCol w:w="3400"/>
        <w:gridCol w:w="2813"/>
        <w:gridCol w:w="2813"/>
      </w:tblGrid>
      <w:tr>
        <w:trPr>
          <w:tblHeader/>
        </w:trPr>
        <w:tc>
          <w:tcPr>
            <w:tcW w:type="dxa" w:w="3400"/>
            <w:shd w:fill="F0F3F7" w:val="clear"/>
            <w:tcMar>
              <w:top w:type="dxa" w:w="60"/>
              <w:left w:type="dxa" w:w="120"/>
              <w:bottom w:type="dxa" w:w="60"/>
              <w:right w:type="dxa" w:w="120"/>
            </w:tcMar>
          </w:tcPr>
          <w:p>
            <w:r>
              <w:rPr>
                <w:b/>
                <w:bCs/>
              </w:rPr>
              <w:t xml:space="preserve">Fonction</w:t>
            </w:r>
          </w:p>
        </w:tc>
        <w:tc>
          <w:tcPr>
            <w:tcW w:type="dxa" w:w="2813"/>
            <w:shd w:fill="F0F3F7" w:val="clear"/>
            <w:tcMar>
              <w:top w:type="dxa" w:w="60"/>
              <w:left w:type="dxa" w:w="120"/>
              <w:bottom w:type="dxa" w:w="60"/>
              <w:right w:type="dxa" w:w="120"/>
            </w:tcMar>
          </w:tcPr>
          <w:p>
            <w:r>
              <w:rPr>
                <w:b/>
                <w:bCs/>
              </w:rPr>
              <w:t xml:space="preserve">Plein écran</w:t>
            </w:r>
          </w:p>
        </w:tc>
        <w:tc>
          <w:tcPr>
            <w:tcW w:type="dxa" w:w="2813"/>
            <w:shd w:fill="F0F3F7" w:val="clear"/>
            <w:tcMar>
              <w:top w:type="dxa" w:w="60"/>
              <w:left w:type="dxa" w:w="120"/>
              <w:bottom w:type="dxa" w:w="60"/>
              <w:right w:type="dxa" w:w="120"/>
            </w:tcMar>
          </w:tcPr>
          <w:p>
            <w:r>
              <w:rPr>
                <w:b/>
                <w:bCs/>
              </w:rPr>
              <w:t xml:space="preserve">Région</w:t>
            </w:r>
          </w:p>
        </w:tc>
      </w:tr>
      <w:tr>
        <w:tc>
          <w:tcPr>
            <w:tcW w:type="dxa" w:w="3400"/>
            <w:tcMar>
              <w:top w:type="dxa" w:w="60"/>
              <w:left w:type="dxa" w:w="120"/>
              <w:bottom w:type="dxa" w:w="60"/>
              <w:right w:type="dxa" w:w="120"/>
            </w:tcMar>
          </w:tcPr>
          <w:p>
            <w:r>
              <w:rPr>
                <w:b w:val="false"/>
                <w:bCs w:val="false"/>
              </w:rPr>
              <w:t xml:space="preserve">Sélectionner l’action</w:t>
            </w:r>
          </w:p>
        </w:tc>
        <w:tc>
          <w:tcPr>
            <w:tcW w:type="dxa" w:w="2813"/>
            <w:gridSpan w:val="2"/>
            <w:tcMar>
              <w:top w:type="dxa" w:w="60"/>
              <w:left w:type="dxa" w:w="120"/>
              <w:bottom w:type="dxa" w:w="60"/>
              <w:right w:type="dxa" w:w="120"/>
            </w:tcMar>
          </w:tcPr>
          <w:p>
            <w:r>
              <w:rPr>
                <w:rFonts w:ascii="Consolas" w:cs="Consolas" w:eastAsia="Consolas" w:hAnsi="Consolas"/>
                <w:sz w:val="20"/>
                <w:szCs w:val="20"/>
              </w:rPr>
              <w:t xml:space="preserve">Ctrl + Alt + X</w:t>
            </w:r>
          </w:p>
        </w:tc>
      </w:tr>
      <w:tr>
        <w:tc>
          <w:tcPr>
            <w:tcW w:type="dxa" w:w="3400"/>
            <w:tcMar>
              <w:top w:type="dxa" w:w="60"/>
              <w:left w:type="dxa" w:w="120"/>
              <w:bottom w:type="dxa" w:w="60"/>
              <w:right w:type="dxa" w:w="120"/>
            </w:tcMar>
          </w:tcPr>
          <w:p>
            <w:r>
              <w:rPr>
                <w:b w:val="false"/>
                <w:bCs w:val="false"/>
              </w:rPr>
              <w:t xml:space="preserve">Enregistrer</w:t>
            </w:r>
          </w:p>
        </w:tc>
        <w:tc>
          <w:tcPr>
            <w:tcW w:type="dxa" w:w="2813"/>
            <w:tcMar>
              <w:top w:type="dxa" w:w="60"/>
              <w:left w:type="dxa" w:w="120"/>
              <w:bottom w:type="dxa" w:w="60"/>
              <w:right w:type="dxa" w:w="120"/>
            </w:tcMar>
          </w:tcPr>
          <w:p>
            <w:r>
              <w:rPr>
                <w:rFonts w:ascii="Consolas" w:cs="Consolas" w:eastAsia="Consolas" w:hAnsi="Consolas"/>
                <w:sz w:val="20"/>
                <w:szCs w:val="20"/>
              </w:rPr>
              <w:t xml:space="preserve">Ctrl + Maj + F</w:t>
            </w:r>
          </w:p>
        </w:tc>
        <w:tc>
          <w:tcPr>
            <w:tcW w:type="dxa" w:w="2813"/>
            <w:tcMar>
              <w:top w:type="dxa" w:w="60"/>
              <w:left w:type="dxa" w:w="120"/>
              <w:bottom w:type="dxa" w:w="60"/>
              <w:right w:type="dxa" w:w="120"/>
            </w:tcMar>
          </w:tcPr>
          <w:p>
            <w:r>
              <w:rPr>
                <w:rFonts w:ascii="Consolas" w:cs="Consolas" w:eastAsia="Consolas" w:hAnsi="Consolas"/>
                <w:sz w:val="20"/>
                <w:szCs w:val="20"/>
              </w:rPr>
              <w:t xml:space="preserve">Ctrl + Alt + F</w:t>
            </w:r>
          </w:p>
        </w:tc>
      </w:tr>
      <w:tr>
        <w:tc>
          <w:tcPr>
            <w:tcW w:type="dxa" w:w="3400"/>
            <w:tcMar>
              <w:top w:type="dxa" w:w="60"/>
              <w:left w:type="dxa" w:w="120"/>
              <w:bottom w:type="dxa" w:w="60"/>
              <w:right w:type="dxa" w:w="120"/>
            </w:tcMar>
          </w:tcPr>
          <w:p>
            <w:r>
              <w:rPr>
                <w:b w:val="false"/>
                <w:bCs w:val="false"/>
              </w:rPr>
              <w:t xml:space="preserve">Copier dans le presse-papiers</w:t>
            </w:r>
          </w:p>
        </w:tc>
        <w:tc>
          <w:tcPr>
            <w:tcW w:type="dxa" w:w="2813"/>
            <w:tcMar>
              <w:top w:type="dxa" w:w="60"/>
              <w:left w:type="dxa" w:w="120"/>
              <w:bottom w:type="dxa" w:w="60"/>
              <w:right w:type="dxa" w:w="120"/>
            </w:tcMar>
          </w:tcPr>
          <w:p>
            <w:r>
              <w:rPr>
                <w:rFonts w:ascii="Consolas" w:cs="Consolas" w:eastAsia="Consolas" w:hAnsi="Consolas"/>
                <w:sz w:val="20"/>
                <w:szCs w:val="20"/>
              </w:rPr>
              <w:t xml:space="preserve">Ctrl + Maj + L</w:t>
            </w:r>
          </w:p>
        </w:tc>
        <w:tc>
          <w:tcPr>
            <w:tcW w:type="dxa" w:w="2813"/>
            <w:tcMar>
              <w:top w:type="dxa" w:w="60"/>
              <w:left w:type="dxa" w:w="120"/>
              <w:bottom w:type="dxa" w:w="60"/>
              <w:right w:type="dxa" w:w="120"/>
            </w:tcMar>
          </w:tcPr>
          <w:p>
            <w:r>
              <w:rPr>
                <w:rFonts w:ascii="Consolas" w:cs="Consolas" w:eastAsia="Consolas" w:hAnsi="Consolas"/>
                <w:sz w:val="20"/>
                <w:szCs w:val="20"/>
              </w:rPr>
              <w:t xml:space="preserve">Ctrl + Alt + L</w:t>
            </w:r>
          </w:p>
        </w:tc>
      </w:tr>
      <w:tr>
        <w:tc>
          <w:tcPr>
            <w:tcW w:type="dxa" w:w="3400"/>
            <w:tcMar>
              <w:top w:type="dxa" w:w="60"/>
              <w:left w:type="dxa" w:w="120"/>
              <w:bottom w:type="dxa" w:w="60"/>
              <w:right w:type="dxa" w:w="120"/>
            </w:tcMar>
          </w:tcPr>
          <w:p>
            <w:r>
              <w:rPr>
                <w:b w:val="false"/>
                <w:bCs w:val="false"/>
              </w:rPr>
              <w:t xml:space="preserve">Imprimer</w:t>
            </w:r>
          </w:p>
        </w:tc>
        <w:tc>
          <w:tcPr>
            <w:tcW w:type="dxa" w:w="2813"/>
            <w:tcMar>
              <w:top w:type="dxa" w:w="60"/>
              <w:left w:type="dxa" w:w="120"/>
              <w:bottom w:type="dxa" w:w="60"/>
              <w:right w:type="dxa" w:w="120"/>
            </w:tcMar>
          </w:tcPr>
          <w:p>
            <w:r>
              <w:rPr>
                <w:rFonts w:ascii="Consolas" w:cs="Consolas" w:eastAsia="Consolas" w:hAnsi="Consolas"/>
                <w:sz w:val="20"/>
                <w:szCs w:val="20"/>
              </w:rPr>
              <w:t xml:space="preserve">Ctrl + Maj + D</w:t>
            </w:r>
          </w:p>
        </w:tc>
        <w:tc>
          <w:tcPr>
            <w:tcW w:type="dxa" w:w="2813"/>
            <w:tcMar>
              <w:top w:type="dxa" w:w="60"/>
              <w:left w:type="dxa" w:w="120"/>
              <w:bottom w:type="dxa" w:w="60"/>
              <w:right w:type="dxa" w:w="120"/>
            </w:tcMar>
          </w:tcPr>
          <w:p>
            <w:r>
              <w:rPr>
                <w:rFonts w:ascii="Consolas" w:cs="Consolas" w:eastAsia="Consolas" w:hAnsi="Consolas"/>
                <w:sz w:val="20"/>
                <w:szCs w:val="20"/>
              </w:rPr>
              <w:t xml:space="preserve">Ctrl + Alt + D</w:t>
            </w:r>
          </w:p>
        </w:tc>
      </w:tr>
      <w:tr>
        <w:tc>
          <w:tcPr>
            <w:tcW w:type="dxa" w:w="3400"/>
            <w:tcMar>
              <w:top w:type="dxa" w:w="60"/>
              <w:left w:type="dxa" w:w="120"/>
              <w:bottom w:type="dxa" w:w="60"/>
              <w:right w:type="dxa" w:w="120"/>
            </w:tcMar>
          </w:tcPr>
          <w:p>
            <w:r>
              <w:rPr>
                <w:b w:val="false"/>
                <w:bCs w:val="false"/>
              </w:rPr>
              <w:t xml:space="preserve">Modifier</w:t>
            </w:r>
          </w:p>
        </w:tc>
        <w:tc>
          <w:tcPr>
            <w:tcW w:type="dxa" w:w="2813"/>
            <w:tcMar>
              <w:top w:type="dxa" w:w="60"/>
              <w:left w:type="dxa" w:w="120"/>
              <w:bottom w:type="dxa" w:w="60"/>
              <w:right w:type="dxa" w:w="120"/>
            </w:tcMar>
          </w:tcPr>
          <w:p>
            <w:r>
              <w:rPr>
                <w:rFonts w:ascii="Consolas" w:cs="Consolas" w:eastAsia="Consolas" w:hAnsi="Consolas"/>
                <w:sz w:val="20"/>
                <w:szCs w:val="20"/>
              </w:rPr>
              <w:t xml:space="preserve">Ctrl + Maj + O</w:t>
            </w:r>
          </w:p>
        </w:tc>
        <w:tc>
          <w:tcPr>
            <w:tcW w:type="dxa" w:w="2813"/>
            <w:tcMar>
              <w:top w:type="dxa" w:w="60"/>
              <w:left w:type="dxa" w:w="120"/>
              <w:bottom w:type="dxa" w:w="60"/>
              <w:right w:type="dxa" w:w="120"/>
            </w:tcMar>
          </w:tcPr>
          <w:p>
            <w:r>
              <w:rPr>
                <w:rFonts w:ascii="Consolas" w:cs="Consolas" w:eastAsia="Consolas" w:hAnsi="Consolas"/>
                <w:sz w:val="20"/>
                <w:szCs w:val="20"/>
              </w:rPr>
              <w:t xml:space="preserve">Ctrl + Alt + O</w:t>
            </w:r>
          </w:p>
        </w:tc>
      </w:tr>
      <w:tr>
        <w:tc>
          <w:tcPr>
            <w:tcW w:type="dxa" w:w="3400"/>
            <w:tcMar>
              <w:top w:type="dxa" w:w="60"/>
              <w:left w:type="dxa" w:w="120"/>
              <w:bottom w:type="dxa" w:w="60"/>
              <w:right w:type="dxa" w:w="120"/>
            </w:tcMar>
          </w:tcPr>
          <w:p>
            <w:r>
              <w:rPr>
                <w:b w:val="false"/>
                <w:bCs w:val="false"/>
              </w:rPr>
              <w:t xml:space="preserve">Enregistrer une vidéo</w:t>
            </w:r>
          </w:p>
        </w:tc>
        <w:tc>
          <w:tcPr>
            <w:tcW w:type="dxa" w:w="2813"/>
            <w:tcMar>
              <w:top w:type="dxa" w:w="60"/>
              <w:left w:type="dxa" w:w="120"/>
              <w:bottom w:type="dxa" w:w="60"/>
              <w:right w:type="dxa" w:w="120"/>
            </w:tcMar>
          </w:tcPr>
          <w:p>
            <w:r>
              <w:rPr>
                <w:rFonts w:ascii="Consolas" w:cs="Consolas" w:eastAsia="Consolas" w:hAnsi="Consolas"/>
                <w:sz w:val="20"/>
                <w:szCs w:val="20"/>
              </w:rPr>
              <w:t xml:space="preserve">Ctrl + Maj + V</w:t>
            </w:r>
          </w:p>
        </w:tc>
        <w:tc>
          <w:tcPr>
            <w:tcW w:type="dxa" w:w="2813"/>
            <w:tcMar>
              <w:top w:type="dxa" w:w="60"/>
              <w:left w:type="dxa" w:w="120"/>
              <w:bottom w:type="dxa" w:w="60"/>
              <w:right w:type="dxa" w:w="120"/>
            </w:tcMar>
          </w:tcPr>
          <w:p>
            <w:r>
              <w:rPr>
                <w:rFonts w:ascii="Consolas" w:cs="Consolas" w:eastAsia="Consolas" w:hAnsi="Consolas"/>
                <w:sz w:val="20"/>
                <w:szCs w:val="20"/>
              </w:rPr>
              <w:t xml:space="preserve">Ctrl + Alt + V</w:t>
            </w:r>
          </w:p>
        </w:tc>
      </w:tr>
      <w:tr>
        <w:tc>
          <w:tcPr>
            <w:tcW w:type="dxa" w:w="3400"/>
            <w:tcMar>
              <w:top w:type="dxa" w:w="60"/>
              <w:left w:type="dxa" w:w="120"/>
              <w:bottom w:type="dxa" w:w="60"/>
              <w:right w:type="dxa" w:w="120"/>
            </w:tcMar>
          </w:tcPr>
          <w:p>
            <w:r>
              <w:rPr>
                <w:b w:val="false"/>
                <w:bCs w:val="false"/>
              </w:rPr>
              <w:t xml:space="preserve">Enregistrer une vidéo – Application</w:t>
            </w:r>
          </w:p>
        </w:tc>
        <w:tc>
          <w:tcPr>
            <w:tcW w:type="dxa" w:w="2813"/>
            <w:gridSpan w:val="2"/>
            <w:tcMar>
              <w:top w:type="dxa" w:w="60"/>
              <w:left w:type="dxa" w:w="120"/>
              <w:bottom w:type="dxa" w:w="60"/>
              <w:right w:type="dxa" w:w="120"/>
            </w:tcMar>
          </w:tcPr>
          <w:p>
            <w:r>
              <w:rPr>
                <w:rFonts w:ascii="Consolas" w:cs="Consolas" w:eastAsia="Consolas" w:hAnsi="Consolas"/>
                <w:sz w:val="20"/>
                <w:szCs w:val="20"/>
              </w:rPr>
              <w:t xml:space="preserve">Ctrl + Alt + A</w:t>
            </w:r>
          </w:p>
        </w:tc>
      </w:tr>
    </w:tbl>
    <w:p>
      <w:pPr>
        <w:spacing w:after="120"/>
      </w:pPr>
      <w:r>
        <w:t xml:space="preserve">Vous pouvez réattribuer librement chaque combinaison. Les paramètres sont enregistrés par utilisateur.</w:t>
      </w:r>
    </w:p>
    <w:p>
      <w:pPr>
        <w:pStyle w:val="Heading1"/>
      </w:pPr>
      <w:r>
        <w:t xml:space="preserve">8. Langue, démarrage automatique, aide-mémoire</w:t>
      </w:r>
    </w:p>
    <w:p>
      <w:pPr>
        <w:pStyle w:val="ListParagraph"/>
        <w:numPr>
          <w:ilvl w:val="0"/>
          <w:numId w:val="2"/>
        </w:numPr>
        <w:spacing w:after="60"/>
      </w:pPr>
      <w:r>
        <w:rPr>
          <w:b/>
          <w:bCs/>
        </w:rPr>
        <w:t xml:space="preserve">Langue </w:t>
      </w:r>
      <w:r>
        <w:t xml:space="preserve">– commutable dans le menu de la barre d’état sous Langue. L’interface est appliquée immédiatement.</w:t>
      </w:r>
    </w:p>
    <w:p>
      <w:pPr>
        <w:pStyle w:val="ListParagraph"/>
        <w:numPr>
          <w:ilvl w:val="0"/>
          <w:numId w:val="2"/>
        </w:numPr>
        <w:spacing w:after="60"/>
      </w:pPr>
      <w:r>
        <w:rPr>
          <w:b/>
          <w:bCs/>
        </w:rPr>
        <w:t xml:space="preserve">Démarrage automatique </w:t>
      </w:r>
      <w:r>
        <w:t xml:space="preserve">– démarre l’outil automatiquement à la connexion. Activable/désactivable dans le menu de la barre d’état.</w:t>
      </w:r>
    </w:p>
    <w:p>
      <w:pPr>
        <w:pStyle w:val="ListParagraph"/>
        <w:numPr>
          <w:ilvl w:val="0"/>
          <w:numId w:val="2"/>
        </w:numPr>
        <w:spacing w:after="60"/>
      </w:pPr>
      <w:r>
        <w:rPr>
          <w:b/>
          <w:bCs/>
        </w:rPr>
        <w:t xml:space="preserve">Imprimer l’aide-mémoire </w:t>
      </w:r>
      <w:r>
        <w:t xml:space="preserve">– imprime un aperçu de toutes les fonctions avec les raccourcis actuellement attribués.</w:t>
      </w:r>
    </w:p>
    <w:p>
      <w:pPr>
        <w:pStyle w:val="ListParagraph"/>
        <w:numPr>
          <w:ilvl w:val="0"/>
          <w:numId w:val="2"/>
        </w:numPr>
        <w:spacing w:after="60"/>
      </w:pPr>
      <w:r>
        <w:rPr>
          <w:b/>
          <w:bCs/>
        </w:rPr>
        <w:t xml:space="preserve">Ouvrir la documentation </w:t>
      </w:r>
      <w:r>
        <w:t xml:space="preserve">– ouvre le dossier contenant ce manuel.</w:t>
      </w:r>
    </w:p>
    <w:p>
      <w:pPr>
        <w:pStyle w:val="Heading1"/>
      </w:pPr>
      <w:r>
        <w:t xml:space="preserve">9. Dépannage</w:t>
      </w:r>
    </w:p>
    <w:p>
      <w:pPr>
        <w:pStyle w:val="Heading3"/>
      </w:pPr>
      <w:r>
        <w:t xml:space="preserve">Le microphone n’est enregistré que lorsqu’un autre programme est en cours d’exécution</w:t>
      </w:r>
    </w:p>
    <w:p>
      <w:pPr>
        <w:spacing w:after="120"/>
      </w:pPr>
      <w:r>
        <w:t xml:space="preserve">La cause est presque toujours l’absence d’autorisation de microphone pour les programmes de bureau. Sous Paramètres → Confidentialité et sécurité → Microphone, activez l’accès au microphone et en particulier « Autoriser les applications de bureau à accéder à votre microphone ». Ensuite, l’outil enregistre le microphone de manière autonome – sans qu’un autre programme d’enregistrement doive fonctionner en parallèle.</w:t>
      </w:r>
    </w:p>
    <w:p>
      <w:pPr>
        <w:pStyle w:val="Heading3"/>
      </w:pPr>
      <w:r>
        <w:t xml:space="preserve">Aucun son système dans l’enregistrement</w:t>
      </w:r>
    </w:p>
    <w:p>
      <w:pPr>
        <w:spacing w:after="120"/>
      </w:pPr>
      <w:r>
        <w:t xml:space="preserve">Vérifiez si le commutateur Audio de l’ordinateur était activé pendant le compte à rebours et si un son est effectivement joué sur le périphérique de lecture par défaut.</w:t>
      </w:r>
    </w:p>
    <w:p>
      <w:pPr>
        <w:pStyle w:val="Heading3"/>
      </w:pPr>
      <w:r>
        <w:t xml:space="preserve">Le son est déformé</w:t>
      </w:r>
    </w:p>
    <w:p>
      <w:pPr>
        <w:spacing w:after="120"/>
      </w:pPr>
      <w:r>
        <w:t xml:space="preserve">Le Gain du microphone est réglé trop haut – réduisez la valeur dans les paramètres.</w:t>
      </w:r>
    </w:p>
    <w:p>
      <w:pPr>
        <w:pStyle w:val="Heading3"/>
      </w:pPr>
      <w:r>
        <w:t xml:space="preserve">Le son est absent alors qu’une source était activée (aucun message d’erreur)</w:t>
      </w:r>
    </w:p>
    <w:p>
      <w:pPr>
        <w:spacing w:after="120"/>
      </w:pPr>
      <w:r>
        <w:t xml:space="preserve">Si aucun périphérique n’était disponible pour une source choisie (par ex. aucun périphérique de lecture par défaut pour l’Audio de l’ordinateur, ou aucun microphone par défaut), le programme enregistre malgré tout – mais sans cette piste. Sous Paramètres → Système → Son, vérifiez qu’un périphérique par défaut est défini pour la Sortie / l’Entrée.</w:t>
      </w:r>
    </w:p>
    <w:p>
      <w:pPr>
        <w:pStyle w:val="Heading3"/>
      </w:pPr>
      <w:r>
        <w:t xml:space="preserve">Une application est absente de la liste</w:t>
      </w:r>
    </w:p>
    <w:p>
      <w:pPr>
        <w:spacing w:after="120"/>
      </w:pPr>
      <w:r>
        <w:t xml:space="preserve">Les fenêtres réduites sont incluses. Les applications qui ne sont pas seulement réduites mais fermées dans la zone de notification (barre d’état) n’ont plus de fenêtre et n’apparaissent pas – ouvrez l’application une fois via son icône dans la barre d’état, puis elle devient sélectionnable. Les applications de type ApplicationFrameHost (par ex. la Calculatrice) sont listées sous ce nom.</w:t>
      </w:r>
    </w:p>
    <w:p>
      <w:pPr>
        <w:pStyle w:val="Heading3"/>
      </w:pPr>
      <w:r>
        <w:t xml:space="preserve">Le raccourci ne répond pas</w:t>
      </w:r>
    </w:p>
    <w:p>
      <w:pPr>
        <w:spacing w:after="120"/>
      </w:pPr>
      <w:r>
        <w:t xml:space="preserve">Un autre programme utilise peut-être la même combinaison. Choisissez une autre combinaison dans les paramètres.</w:t>
      </w:r>
    </w:p>
    <w:p>
      <w:pPr>
        <w:pStyle w:val="Heading3"/>
      </w:pPr>
      <w:r>
        <w:t xml:space="preserve">« Dossier de documentation introuvable »</w:t>
      </w:r>
    </w:p>
    <w:p>
      <w:pPr>
        <w:spacing w:after="120"/>
      </w:pPr>
      <w:r>
        <w:t xml:space="preserve">Le dossier « Documentation » est livré à côté du programme. En cas d’installation endommagée, une réinstallation aide.</w:t>
      </w:r>
    </w:p>
    <w:p>
      <w:pPr>
        <w:pStyle w:val="Heading1"/>
      </w:pPr>
      <w:r>
        <w:t xml:space="preserve">10. À propos et contact</w:t>
      </w:r>
    </w:p>
    <w:p>
      <w:pPr>
        <w:spacing w:after="120"/>
      </w:pPr>
      <w:r>
        <w:t xml:space="preserve">Extended Snipping Tool · © DieCloud.at – Walter Pachl</w:t>
      </w:r>
    </w:p>
    <w:p>
      <w:pPr>
        <w:spacing w:after="120"/>
      </w:pPr>
      <w:r>
        <w:t xml:space="preserve">Web : diecloud.at · E-mail : wp@diecloud.at</w:t>
      </w:r>
    </w:p>
    <w:p>
      <w:pPr>
        <w:pBdr>
          <w:top w:val="single" w:color="CCCCCC" w:sz="4" w:space="6"/>
        </w:pBdr>
        <w:spacing w:before="240"/>
      </w:pPr>
      <w:r>
        <w:rPr>
          <w:color w:val="5B626B"/>
          <w:sz w:val="18"/>
          <w:szCs w:val="18"/>
        </w:rPr>
        <w:t xml:space="preserve">Extended Snipping Tool – Guide de l’utilisateur. L’ensemble des fonctions et les raccourcis peuvent varier selon la version et la configuration individuelle.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80"/>
      </w:pPr>
    </w:lvl>
  </w:abstractNum>
  <w:abstractNum w:abstractNumId="3" w15:restartNumberingAfterBreak="0">
    <w:multiLevelType w:val="hybridMultilevel"/>
    <w:lvl w:ilvl="0" w15:tentative="1">
      <w:start w:val="1"/>
      <w:numFmt w:val="decimal"/>
      <w:lvlText w:val="%1."/>
      <w:lvlJc w:val="left"/>
      <w:pPr>
        <w:ind w:left="540" w:hanging="28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top w:val="single" w:color="E6E8EC" w:sz="4" w:space="8"/>
      </w:pBdr>
      <w:spacing w:after="140" w:before="300"/>
      <w:outlineLvl w:val="0"/>
    </w:pPr>
    <w:rPr>
      <w:rFonts w:ascii="Arial" w:cs="Arial" w:eastAsia="Arial" w:hAnsi="Arial"/>
      <w:b/>
      <w:bCs/>
      <w:color w:val="1C1F24"/>
      <w:sz w:val="30"/>
      <w:szCs w:val="30"/>
    </w:rPr>
  </w:style>
  <w:style w:type="paragraph" w:styleId="Heading2">
    <w:name w:val="Heading 2"/>
    <w:basedOn w:val="Normal"/>
    <w:next w:val="Normal"/>
    <w:qFormat/>
    <w:pPr>
      <w:spacing w:after="100" w:before="220"/>
      <w:outlineLvl w:val="1"/>
    </w:pPr>
    <w:rPr>
      <w:rFonts w:ascii="Arial" w:cs="Arial" w:eastAsia="Arial" w:hAnsi="Arial"/>
      <w:b/>
      <w:bCs/>
      <w:color w:val="1C1F24"/>
      <w:sz w:val="25"/>
      <w:szCs w:val="25"/>
    </w:rPr>
  </w:style>
  <w:style w:type="paragraph" w:styleId="Heading3">
    <w:name w:val="Heading 3"/>
    <w:basedOn w:val="Normal"/>
    <w:next w:val="Normal"/>
    <w:qFormat/>
    <w:pPr>
      <w:spacing w:after="70" w:before="180"/>
      <w:outlineLvl w:val="2"/>
    </w:pPr>
    <w:rPr>
      <w:rFonts w:ascii="Arial" w:cs="Arial" w:eastAsia="Arial" w:hAnsi="Arial"/>
      <w:b/>
      <w:bCs/>
      <w:color w:val="2E3137"/>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2026-06-19T01:25:43.403Z</dcterms:created>
  <dcterms:modified xsi:type="dcterms:W3CDTF">2026-06-19T01:25:43.403Z</dcterms:modified>
</cp:coreProperties>
</file>

<file path=docProps/custom.xml><?xml version="1.0" encoding="utf-8"?>
<Properties xmlns="http://schemas.openxmlformats.org/officeDocument/2006/custom-properties" xmlns:vt="http://schemas.openxmlformats.org/officeDocument/2006/docPropsVTypes"/>
</file>