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Bdr>
          <w:bottom w:val="single" w:color="2E78D2" w:sz="18" w:space="6"/>
        </w:pBdr>
        <w:spacing w:after="40"/>
      </w:pPr>
      <w:r>
        <w:rPr>
          <w:b/>
          <w:bCs/>
          <w:sz w:val="40"/>
          <w:szCs w:val="40"/>
        </w:rPr>
        <w:t xml:space="preserve">Extended Snipping Tool</w:t>
      </w:r>
    </w:p>
    <w:p>
      <w:pPr>
        <w:spacing w:after="240"/>
      </w:pPr>
      <w:r>
        <w:rPr>
          <w:color w:val="5B626B"/>
          <w:sz w:val="22"/>
          <w:szCs w:val="22"/>
        </w:rPr>
        <w:t xml:space="preserve">Benutzerhandbuch · Stand: Juni 2026</w:t>
      </w:r>
    </w:p>
    <w:p>
      <w:pPr>
        <w:spacing w:after="200"/>
      </w:pPr>
      <w:r>
        <w:rPr>
          <w:color w:val="33383F"/>
          <w:sz w:val="23"/>
          <w:szCs w:val="23"/>
        </w:rPr>
        <w:t xml:space="preserve">Das Extended Snipping Tool ist ein Bildschirmwerkzeug, das im Infobereich (Tray) neben der Uhr läuft. Es nimmt Screenshots und Bildschirmvideos auf, bietet einen Bildeditor zum Annotieren und kann Aufnahmen speichern, drucken oder in die Zwischenablage kopieren – alles per Tastenkürzel oder über das Tray-Menü.</w:t>
      </w:r>
    </w:p>
    <w:p>
      <w:pPr>
        <w:pStyle w:val="Heading1"/>
      </w:pPr>
      <w:r>
        <w:t xml:space="preserve">1. Erste Schritte</w:t>
      </w:r>
    </w:p>
    <w:p>
      <w:pPr>
        <w:pStyle w:val="Heading2"/>
      </w:pPr>
      <w:r>
        <w:t xml:space="preserve">Installation</w:t>
      </w:r>
    </w:p>
    <w:p>
      <w:pPr>
        <w:spacing w:after="120"/>
      </w:pPr>
      <w:r>
        <w:t xml:space="preserve">Installiere das Extended Snipping Tool über das bereitgestellte Setup. Anschließend startet es und legt sich in den Infobereich der Taskleiste.</w:t>
      </w:r>
    </w:p>
    <w:p>
      <w:pPr>
        <w:pBdr>
          <w:left w:val="single" w:color="E0A012" w:sz="24" w:space="12"/>
        </w:pBdr>
        <w:shd w:fill="FFF7E6" w:val="clear"/>
        <w:spacing w:after="160" w:before="120"/>
        <w:ind w:left="120"/>
      </w:pPr>
      <w:r>
        <w:rPr>
          <w:b/>
          <w:bCs/>
        </w:rPr>
        <w:t xml:space="preserve">Meldung „… bereits an einem anderen Ort installiert wurde“ </w:t>
      </w:r>
      <w:r>
        <w:br/>
        <w:t xml:space="preserve">Erscheint bei der Installation die Meldung, dass die Anwendung nicht von diesem Ort gestartet werden kann, weil sie bereits an einem anderen Ort installiert wurde, dann beende zuerst die Anwendung (Rechtsklick auf das Tray-Symbol → Beenden), deinstalliere sie anschließend über die Systemsteuerung (Systemsteuerung → Programme → Programme und Features, bzw. Windows-Einstellungen → Apps → Installierte Apps) und installiere sie danach neu. Die Meldung tritt auf, wenn eine frühere Version von einem anderen Speicherort installiert wurde.</w:t>
      </w:r>
    </w:p>
    <w:p>
      <w:pPr>
        <w:pStyle w:val="Heading2"/>
      </w:pPr>
      <w:r>
        <w:t xml:space="preserve">Bedienung</w:t>
      </w:r>
    </w:p>
    <w:p>
      <w:pPr>
        <w:spacing w:after="120"/>
      </w:pPr>
      <w:r>
        <w:t xml:space="preserve">Nach dem Start legt sich das Programm als Symbol in den Infobereich der Taskleiste. Ein Linksklick auf das Symbol öffnet den Aktionswähler, ein Rechtsklick das vollständige Menü mit allen Funktionen und Einstellungen.</w:t>
      </w:r>
    </w:p>
    <w:p>
      <w:pPr>
        <w:spacing w:after="120"/>
      </w:pPr>
      <w:r>
        <w:t xml:space="preserve">Das Tool läuft dauerhaft im Hintergrund und reagiert auf global registrierte Tastenkürzel – du musst es also nicht erst in den Vordergrund holen, um einen Screenshot zu machen. Über Autostart kannst du festlegen, dass es bei jeder Anmeldung automatisch startet (siehe Abschnitt 8).</w:t>
      </w:r>
    </w:p>
    <w:p>
      <w:pPr>
        <w:pStyle w:val="Heading1"/>
      </w:pPr>
      <w:r>
        <w:t xml:space="preserve">2. Das Tray-Menü</w:t>
      </w:r>
    </w:p>
    <w:p>
      <w:pPr>
        <w:spacing w:after="120"/>
      </w:pPr>
      <w:r>
        <w:t xml:space="preserve">Der Rechtsklick auf das Tray-Symbol öffnet das Menü. Es ist in Gruppen gegliedert:</w:t>
      </w:r>
    </w:p>
    <w:p>
      <w:pPr>
        <w:pStyle w:val="ListParagraph"/>
        <w:numPr>
          <w:ilvl w:val="0"/>
          <w:numId w:val="2"/>
        </w:numPr>
        <w:spacing w:after="60"/>
      </w:pPr>
      <w:r>
        <w:rPr>
          <w:b/>
          <w:bCs/>
        </w:rPr>
        <w:t xml:space="preserve">Aktion wählen… </w:t>
      </w:r>
      <w:r>
        <w:t xml:space="preserve">– ein kleines Auswahlfenster für alle Aufnahmearten.</w:t>
      </w:r>
    </w:p>
    <w:p>
      <w:pPr>
        <w:pStyle w:val="ListParagraph"/>
        <w:numPr>
          <w:ilvl w:val="0"/>
          <w:numId w:val="2"/>
        </w:numPr>
        <w:spacing w:after="60"/>
      </w:pPr>
      <w:r>
        <w:rPr>
          <w:b/>
          <w:bCs/>
        </w:rPr>
        <w:t xml:space="preserve">Speichern </w:t>
      </w:r>
      <w:r>
        <w:t xml:space="preserve">– Screenshot direkt als Datei sichern (ganzer Bildschirm / Bereich).</w:t>
      </w:r>
    </w:p>
    <w:p>
      <w:pPr>
        <w:pStyle w:val="ListParagraph"/>
        <w:numPr>
          <w:ilvl w:val="0"/>
          <w:numId w:val="2"/>
        </w:numPr>
        <w:spacing w:after="60"/>
      </w:pPr>
      <w:r>
        <w:rPr>
          <w:b/>
          <w:bCs/>
        </w:rPr>
        <w:t xml:space="preserve">In die Zwischenablage kopieren </w:t>
      </w:r>
      <w:r>
        <w:t xml:space="preserve">– Screenshot ohne Datei direkt kopieren.</w:t>
      </w:r>
    </w:p>
    <w:p>
      <w:pPr>
        <w:pStyle w:val="ListParagraph"/>
        <w:numPr>
          <w:ilvl w:val="0"/>
          <w:numId w:val="2"/>
        </w:numPr>
        <w:spacing w:after="60"/>
      </w:pPr>
      <w:r>
        <w:rPr>
          <w:b/>
          <w:bCs/>
        </w:rPr>
        <w:t xml:space="preserve">Drucken </w:t>
      </w:r>
      <w:r>
        <w:t xml:space="preserve">– Screenshot mit Druckdialog ausgeben.</w:t>
      </w:r>
    </w:p>
    <w:p>
      <w:pPr>
        <w:pStyle w:val="ListParagraph"/>
        <w:numPr>
          <w:ilvl w:val="0"/>
          <w:numId w:val="2"/>
        </w:numPr>
        <w:spacing w:after="60"/>
      </w:pPr>
      <w:r>
        <w:rPr>
          <w:b/>
          <w:bCs/>
        </w:rPr>
        <w:t xml:space="preserve">Bearbeiten </w:t>
      </w:r>
      <w:r>
        <w:t xml:space="preserve">– Screenshot im Editor öffnen und annotieren.</w:t>
      </w:r>
    </w:p>
    <w:p>
      <w:pPr>
        <w:pStyle w:val="ListParagraph"/>
        <w:numPr>
          <w:ilvl w:val="0"/>
          <w:numId w:val="2"/>
        </w:numPr>
        <w:spacing w:after="60"/>
      </w:pPr>
      <w:r>
        <w:rPr>
          <w:b/>
          <w:bCs/>
        </w:rPr>
        <w:t xml:space="preserve">Video aufnehmen </w:t>
      </w:r>
      <w:r>
        <w:t xml:space="preserve">– Bildschirmvideo starten (ganzer Bildschirm / Bereich / Anwendung) und Aufnahme stoppen.</w:t>
      </w:r>
    </w:p>
    <w:p>
      <w:pPr>
        <w:pStyle w:val="ListParagraph"/>
        <w:numPr>
          <w:ilvl w:val="0"/>
          <w:numId w:val="2"/>
        </w:numPr>
        <w:spacing w:after="60"/>
      </w:pPr>
      <w:r>
        <w:rPr>
          <w:b/>
          <w:bCs/>
        </w:rPr>
        <w:t xml:space="preserve">Tastenkürzel…, Spickzettel drucken, Sprache, Autostart, Dokumentation öffnen, Über… und Beenden </w:t>
      </w:r>
      <w:r>
        <w:t xml:space="preserve">– die übrigen Menüpunkte.</w:t>
      </w:r>
    </w:p>
    <w:p>
      <w:pPr>
        <w:spacing w:after="120"/>
      </w:pPr>
      <w:r>
        <w:t xml:space="preserve">Hinter jedem Aufnahmeeintrag steht in Klammern das aktuell zugewiesene Tastenkürzel.</w:t>
      </w:r>
    </w:p>
    <w:p>
      <w:pPr>
        <w:pStyle w:val="Heading1"/>
      </w:pPr>
      <w:r>
        <w:t xml:space="preserve">3. Screenshots aufnehmen</w:t>
      </w:r>
    </w:p>
    <w:p>
      <w:pPr>
        <w:spacing w:after="120"/>
      </w:pPr>
      <w:r>
        <w:t xml:space="preserve">Jede Screenshot-Aktion gibt es in zwei Varianten: Ganzer Bildschirm erfasst sofort den kompletten Bildschirm, Bereich blendet ein Fadenkreuz ein, mit dem du per Maus einen rechteckigen Ausschnitt aufziehst.</w:t>
      </w:r>
    </w:p>
    <w:p>
      <w:pPr>
        <w:spacing w:after="120"/>
      </w:pPr>
      <w:r>
        <w:t xml:space="preserve">Was anschließend mit der Aufnahme passiert, hängt von der gewählten Aktion ab:</w:t>
      </w:r>
    </w:p>
    <w:tbl>
      <w:tblPr>
        <w:tblW w:type="dxa" w:w="9026"/>
        <w:tblBorders>
          <w:top w:val="single" w:color="CCCCCC" w:sz="1"/>
          <w:left w:val="single" w:color="CCCCCC" w:sz="1"/>
          <w:bottom w:val="single" w:color="CCCCCC" w:sz="1"/>
          <w:right w:val="single" w:color="CCCCCC" w:sz="1"/>
          <w:insideH w:val="single" w:color="CCCCCC" w:sz="1"/>
          <w:insideV w:val="single" w:color="CCCCCC" w:sz="1"/>
        </w:tblBorders>
      </w:tblPr>
      <w:tblGrid>
        <w:gridCol w:w="3026"/>
        <w:gridCol w:w="6000"/>
      </w:tblGrid>
      <w:tr>
        <w:trPr>
          <w:tblHeader/>
        </w:trPr>
        <w:tc>
          <w:tcPr>
            <w:tcW w:type="dxa" w:w="3026"/>
            <w:shd w:fill="F0F3F7" w:val="clear"/>
            <w:tcMar>
              <w:top w:type="dxa" w:w="60"/>
              <w:left w:type="dxa" w:w="120"/>
              <w:bottom w:type="dxa" w:w="60"/>
              <w:right w:type="dxa" w:w="120"/>
            </w:tcMar>
          </w:tcPr>
          <w:p>
            <w:r>
              <w:rPr>
                <w:b/>
                <w:bCs/>
              </w:rPr>
              <w:t xml:space="preserve">Aktion</w:t>
            </w:r>
          </w:p>
        </w:tc>
        <w:tc>
          <w:tcPr>
            <w:tcW w:type="dxa" w:w="6000"/>
            <w:shd w:fill="F0F3F7" w:val="clear"/>
            <w:tcMar>
              <w:top w:type="dxa" w:w="60"/>
              <w:left w:type="dxa" w:w="120"/>
              <w:bottom w:type="dxa" w:w="60"/>
              <w:right w:type="dxa" w:w="120"/>
            </w:tcMar>
          </w:tcPr>
          <w:p>
            <w:r>
              <w:rPr>
                <w:b/>
                <w:bCs/>
              </w:rPr>
              <w:t xml:space="preserve">Ergebnis</w:t>
            </w:r>
          </w:p>
        </w:tc>
      </w:tr>
      <w:tr>
        <w:tc>
          <w:tcPr>
            <w:tcW w:type="dxa" w:w="3026"/>
            <w:tcMar>
              <w:top w:type="dxa" w:w="60"/>
              <w:left w:type="dxa" w:w="120"/>
              <w:bottom w:type="dxa" w:w="60"/>
              <w:right w:type="dxa" w:w="120"/>
            </w:tcMar>
          </w:tcPr>
          <w:p>
            <w:r>
              <w:rPr>
                <w:b w:val="false"/>
                <w:bCs w:val="false"/>
              </w:rPr>
              <w:t xml:space="preserve">Speichern</w:t>
            </w:r>
          </w:p>
        </w:tc>
        <w:tc>
          <w:tcPr>
            <w:tcW w:type="dxa" w:w="6000"/>
            <w:tcMar>
              <w:top w:type="dxa" w:w="60"/>
              <w:left w:type="dxa" w:w="120"/>
              <w:bottom w:type="dxa" w:w="60"/>
              <w:right w:type="dxa" w:w="120"/>
            </w:tcMar>
          </w:tcPr>
          <w:p>
            <w:r>
              <w:rPr>
                <w:b w:val="false"/>
                <w:bCs w:val="false"/>
              </w:rPr>
              <w:t xml:space="preserve">Öffnet einen Speichern-Dialog.</w:t>
            </w:r>
          </w:p>
        </w:tc>
      </w:tr>
      <w:tr>
        <w:tc>
          <w:tcPr>
            <w:tcW w:type="dxa" w:w="3026"/>
            <w:tcMar>
              <w:top w:type="dxa" w:w="60"/>
              <w:left w:type="dxa" w:w="120"/>
              <w:bottom w:type="dxa" w:w="60"/>
              <w:right w:type="dxa" w:w="120"/>
            </w:tcMar>
          </w:tcPr>
          <w:p>
            <w:r>
              <w:rPr>
                <w:b w:val="false"/>
                <w:bCs w:val="false"/>
              </w:rPr>
              <w:t xml:space="preserve">In die Zwischenablage</w:t>
            </w:r>
          </w:p>
        </w:tc>
        <w:tc>
          <w:tcPr>
            <w:tcW w:type="dxa" w:w="6000"/>
            <w:tcMar>
              <w:top w:type="dxa" w:w="60"/>
              <w:left w:type="dxa" w:w="120"/>
              <w:bottom w:type="dxa" w:w="60"/>
              <w:right w:type="dxa" w:w="120"/>
            </w:tcMar>
          </w:tcPr>
          <w:p>
            <w:r>
              <w:rPr>
                <w:b w:val="false"/>
                <w:bCs w:val="false"/>
              </w:rPr>
              <w:t xml:space="preserve">Kopiert das Bild sofort, ohne Datei.</w:t>
            </w:r>
          </w:p>
        </w:tc>
      </w:tr>
      <w:tr>
        <w:tc>
          <w:tcPr>
            <w:tcW w:type="dxa" w:w="3026"/>
            <w:tcMar>
              <w:top w:type="dxa" w:w="60"/>
              <w:left w:type="dxa" w:w="120"/>
              <w:bottom w:type="dxa" w:w="60"/>
              <w:right w:type="dxa" w:w="120"/>
            </w:tcMar>
          </w:tcPr>
          <w:p>
            <w:r>
              <w:rPr>
                <w:b w:val="false"/>
                <w:bCs w:val="false"/>
              </w:rPr>
              <w:t xml:space="preserve">Drucken</w:t>
            </w:r>
          </w:p>
        </w:tc>
        <w:tc>
          <w:tcPr>
            <w:tcW w:type="dxa" w:w="6000"/>
            <w:tcMar>
              <w:top w:type="dxa" w:w="60"/>
              <w:left w:type="dxa" w:w="120"/>
              <w:bottom w:type="dxa" w:w="60"/>
              <w:right w:type="dxa" w:w="120"/>
            </w:tcMar>
          </w:tcPr>
          <w:p>
            <w:r>
              <w:rPr>
                <w:b w:val="false"/>
                <w:bCs w:val="false"/>
              </w:rPr>
              <w:t xml:space="preserve">Öffnet den Windows-Druckdialog.</w:t>
            </w:r>
          </w:p>
        </w:tc>
      </w:tr>
      <w:tr>
        <w:tc>
          <w:tcPr>
            <w:tcW w:type="dxa" w:w="3026"/>
            <w:tcMar>
              <w:top w:type="dxa" w:w="60"/>
              <w:left w:type="dxa" w:w="120"/>
              <w:bottom w:type="dxa" w:w="60"/>
              <w:right w:type="dxa" w:w="120"/>
            </w:tcMar>
          </w:tcPr>
          <w:p>
            <w:r>
              <w:rPr>
                <w:b w:val="false"/>
                <w:bCs w:val="false"/>
              </w:rPr>
              <w:t xml:space="preserve">Bearbeiten</w:t>
            </w:r>
          </w:p>
        </w:tc>
        <w:tc>
          <w:tcPr>
            <w:tcW w:type="dxa" w:w="6000"/>
            <w:tcMar>
              <w:top w:type="dxa" w:w="60"/>
              <w:left w:type="dxa" w:w="120"/>
              <w:bottom w:type="dxa" w:w="60"/>
              <w:right w:type="dxa" w:w="120"/>
            </w:tcMar>
          </w:tcPr>
          <w:p>
            <w:r>
              <w:rPr>
                <w:b w:val="false"/>
                <w:bCs w:val="false"/>
              </w:rPr>
              <w:t xml:space="preserve">Öffnet das Bild im Editor (siehe Abschnitt 4).</w:t>
            </w:r>
          </w:p>
        </w:tc>
      </w:tr>
    </w:tbl>
    <w:p>
      <w:pPr>
        <w:pStyle w:val="Heading2"/>
      </w:pPr>
      <w:r>
        <w:t xml:space="preserve">Dateiformate</w:t>
      </w:r>
    </w:p>
    <w:p>
      <w:pPr>
        <w:spacing w:after="120"/>
      </w:pPr>
      <w:r>
        <w:t xml:space="preserve">Beim Speichern stehen folgende Formate zur Verfügung (Vorgabe: PDF): PDF, PNG, JPEG, BMP, TIFF und GIF. Das Format wird über die gewählte Dateiendung bestimmt.</w:t>
      </w:r>
    </w:p>
    <w:p>
      <w:pPr>
        <w:pStyle w:val="Heading1"/>
      </w:pPr>
      <w:r>
        <w:t xml:space="preserve">4. Der Bildeditor</w:t>
      </w:r>
    </w:p>
    <w:p>
      <w:pPr>
        <w:spacing w:after="120"/>
      </w:pPr>
      <w:r>
        <w:t xml:space="preserve">Über Bearbeiten landet der Screenshot im Editor. Hier kannst du das Bild annotieren und anschließend speichern, kopieren oder drucken. Verfügbare Werkzeuge:</w:t>
      </w:r>
    </w:p>
    <w:tbl>
      <w:tblPr>
        <w:tblW w:type="dxa" w:w="9026"/>
        <w:tblBorders>
          <w:top w:val="single" w:color="CCCCCC" w:sz="1"/>
          <w:left w:val="single" w:color="CCCCCC" w:sz="1"/>
          <w:bottom w:val="single" w:color="CCCCCC" w:sz="1"/>
          <w:right w:val="single" w:color="CCCCCC" w:sz="1"/>
          <w:insideH w:val="single" w:color="CCCCCC" w:sz="1"/>
          <w:insideV w:val="single" w:color="CCCCCC" w:sz="1"/>
        </w:tblBorders>
      </w:tblPr>
      <w:tblGrid>
        <w:gridCol w:w="3026"/>
        <w:gridCol w:w="6000"/>
      </w:tblGrid>
      <w:tr>
        <w:trPr>
          <w:tblHeader/>
        </w:trPr>
        <w:tc>
          <w:tcPr>
            <w:tcW w:type="dxa" w:w="3026"/>
            <w:shd w:fill="F0F3F7" w:val="clear"/>
            <w:tcMar>
              <w:top w:type="dxa" w:w="60"/>
              <w:left w:type="dxa" w:w="120"/>
              <w:bottom w:type="dxa" w:w="60"/>
              <w:right w:type="dxa" w:w="120"/>
            </w:tcMar>
          </w:tcPr>
          <w:p>
            <w:r>
              <w:rPr>
                <w:b/>
                <w:bCs/>
              </w:rPr>
              <w:t xml:space="preserve">Werkzeug</w:t>
            </w:r>
          </w:p>
        </w:tc>
        <w:tc>
          <w:tcPr>
            <w:tcW w:type="dxa" w:w="6000"/>
            <w:shd w:fill="F0F3F7" w:val="clear"/>
            <w:tcMar>
              <w:top w:type="dxa" w:w="60"/>
              <w:left w:type="dxa" w:w="120"/>
              <w:bottom w:type="dxa" w:w="60"/>
              <w:right w:type="dxa" w:w="120"/>
            </w:tcMar>
          </w:tcPr>
          <w:p>
            <w:r>
              <w:rPr>
                <w:b/>
                <w:bCs/>
              </w:rPr>
              <w:t xml:space="preserve">Funktion</w:t>
            </w:r>
          </w:p>
        </w:tc>
      </w:tr>
      <w:tr>
        <w:tc>
          <w:tcPr>
            <w:tcW w:type="dxa" w:w="3026"/>
            <w:tcMar>
              <w:top w:type="dxa" w:w="60"/>
              <w:left w:type="dxa" w:w="120"/>
              <w:bottom w:type="dxa" w:w="60"/>
              <w:right w:type="dxa" w:w="120"/>
            </w:tcMar>
          </w:tcPr>
          <w:p>
            <w:r>
              <w:rPr>
                <w:b w:val="false"/>
                <w:bCs w:val="false"/>
              </w:rPr>
              <w:t xml:space="preserve">Auswahl</w:t>
            </w:r>
          </w:p>
        </w:tc>
        <w:tc>
          <w:tcPr>
            <w:tcW w:type="dxa" w:w="6000"/>
            <w:tcMar>
              <w:top w:type="dxa" w:w="60"/>
              <w:left w:type="dxa" w:w="120"/>
              <w:bottom w:type="dxa" w:w="60"/>
              <w:right w:type="dxa" w:w="120"/>
            </w:tcMar>
          </w:tcPr>
          <w:p>
            <w:r>
              <w:rPr>
                <w:b w:val="false"/>
                <w:bCs w:val="false"/>
              </w:rPr>
              <w:t xml:space="preserve">Objekte markieren, verschieben und anpassen.</w:t>
            </w:r>
          </w:p>
        </w:tc>
      </w:tr>
      <w:tr>
        <w:tc>
          <w:tcPr>
            <w:tcW w:type="dxa" w:w="3026"/>
            <w:tcMar>
              <w:top w:type="dxa" w:w="60"/>
              <w:left w:type="dxa" w:w="120"/>
              <w:bottom w:type="dxa" w:w="60"/>
              <w:right w:type="dxa" w:w="120"/>
            </w:tcMar>
          </w:tcPr>
          <w:p>
            <w:r>
              <w:rPr>
                <w:b w:val="false"/>
                <w:bCs w:val="false"/>
              </w:rPr>
              <w:t xml:space="preserve">Stift</w:t>
            </w:r>
          </w:p>
        </w:tc>
        <w:tc>
          <w:tcPr>
            <w:tcW w:type="dxa" w:w="6000"/>
            <w:tcMar>
              <w:top w:type="dxa" w:w="60"/>
              <w:left w:type="dxa" w:w="120"/>
              <w:bottom w:type="dxa" w:w="60"/>
              <w:right w:type="dxa" w:w="120"/>
            </w:tcMar>
          </w:tcPr>
          <w:p>
            <w:r>
              <w:rPr>
                <w:b w:val="false"/>
                <w:bCs w:val="false"/>
              </w:rPr>
              <w:t xml:space="preserve">Freihandlinien zeichnen.</w:t>
            </w:r>
          </w:p>
        </w:tc>
      </w:tr>
      <w:tr>
        <w:tc>
          <w:tcPr>
            <w:tcW w:type="dxa" w:w="3026"/>
            <w:tcMar>
              <w:top w:type="dxa" w:w="60"/>
              <w:left w:type="dxa" w:w="120"/>
              <w:bottom w:type="dxa" w:w="60"/>
              <w:right w:type="dxa" w:w="120"/>
            </w:tcMar>
          </w:tcPr>
          <w:p>
            <w:r>
              <w:rPr>
                <w:b w:val="false"/>
                <w:bCs w:val="false"/>
              </w:rPr>
              <w:t xml:space="preserve">Textmarker</w:t>
            </w:r>
          </w:p>
        </w:tc>
        <w:tc>
          <w:tcPr>
            <w:tcW w:type="dxa" w:w="6000"/>
            <w:tcMar>
              <w:top w:type="dxa" w:w="60"/>
              <w:left w:type="dxa" w:w="120"/>
              <w:bottom w:type="dxa" w:w="60"/>
              <w:right w:type="dxa" w:w="120"/>
            </w:tcMar>
          </w:tcPr>
          <w:p>
            <w:r>
              <w:rPr>
                <w:b w:val="false"/>
                <w:bCs w:val="false"/>
              </w:rPr>
              <w:t xml:space="preserve">Halbtransparent hervorheben.</w:t>
            </w:r>
          </w:p>
        </w:tc>
      </w:tr>
      <w:tr>
        <w:tc>
          <w:tcPr>
            <w:tcW w:type="dxa" w:w="3026"/>
            <w:tcMar>
              <w:top w:type="dxa" w:w="60"/>
              <w:left w:type="dxa" w:w="120"/>
              <w:bottom w:type="dxa" w:w="60"/>
              <w:right w:type="dxa" w:w="120"/>
            </w:tcMar>
          </w:tcPr>
          <w:p>
            <w:r>
              <w:rPr>
                <w:b w:val="false"/>
                <w:bCs w:val="false"/>
              </w:rPr>
              <w:t xml:space="preserve">Radierer</w:t>
            </w:r>
          </w:p>
        </w:tc>
        <w:tc>
          <w:tcPr>
            <w:tcW w:type="dxa" w:w="6000"/>
            <w:tcMar>
              <w:top w:type="dxa" w:w="60"/>
              <w:left w:type="dxa" w:w="120"/>
              <w:bottom w:type="dxa" w:w="60"/>
              <w:right w:type="dxa" w:w="120"/>
            </w:tcMar>
          </w:tcPr>
          <w:p>
            <w:r>
              <w:rPr>
                <w:b w:val="false"/>
                <w:bCs w:val="false"/>
              </w:rPr>
              <w:t xml:space="preserve">Annotationen entfernen.</w:t>
            </w:r>
          </w:p>
        </w:tc>
      </w:tr>
      <w:tr>
        <w:tc>
          <w:tcPr>
            <w:tcW w:type="dxa" w:w="3026"/>
            <w:tcMar>
              <w:top w:type="dxa" w:w="60"/>
              <w:left w:type="dxa" w:w="120"/>
              <w:bottom w:type="dxa" w:w="60"/>
              <w:right w:type="dxa" w:w="120"/>
            </w:tcMar>
          </w:tcPr>
          <w:p>
            <w:r>
              <w:rPr>
                <w:b w:val="false"/>
                <w:bCs w:val="false"/>
              </w:rPr>
              <w:t xml:space="preserve">Text</w:t>
            </w:r>
          </w:p>
        </w:tc>
        <w:tc>
          <w:tcPr>
            <w:tcW w:type="dxa" w:w="6000"/>
            <w:tcMar>
              <w:top w:type="dxa" w:w="60"/>
              <w:left w:type="dxa" w:w="120"/>
              <w:bottom w:type="dxa" w:w="60"/>
              <w:right w:type="dxa" w:w="120"/>
            </w:tcMar>
          </w:tcPr>
          <w:p>
            <w:r>
              <w:rPr>
                <w:b w:val="false"/>
                <w:bCs w:val="false"/>
              </w:rPr>
              <w:t xml:space="preserve">Beschriftungen einfügen (Schriftart einstellbar).</w:t>
            </w:r>
          </w:p>
        </w:tc>
      </w:tr>
      <w:tr>
        <w:tc>
          <w:tcPr>
            <w:tcW w:type="dxa" w:w="3026"/>
            <w:tcMar>
              <w:top w:type="dxa" w:w="60"/>
              <w:left w:type="dxa" w:w="120"/>
              <w:bottom w:type="dxa" w:w="60"/>
              <w:right w:type="dxa" w:w="120"/>
            </w:tcMar>
          </w:tcPr>
          <w:p>
            <w:r>
              <w:rPr>
                <w:b w:val="false"/>
                <w:bCs w:val="false"/>
              </w:rPr>
              <w:t xml:space="preserve">Formen</w:t>
            </w:r>
          </w:p>
        </w:tc>
        <w:tc>
          <w:tcPr>
            <w:tcW w:type="dxa" w:w="6000"/>
            <w:tcMar>
              <w:top w:type="dxa" w:w="60"/>
              <w:left w:type="dxa" w:w="120"/>
              <w:bottom w:type="dxa" w:w="60"/>
              <w:right w:type="dxa" w:w="120"/>
            </w:tcMar>
          </w:tcPr>
          <w:p>
            <w:r>
              <w:rPr>
                <w:b w:val="false"/>
                <w:bCs w:val="false"/>
              </w:rPr>
              <w:t xml:space="preserve">Linie, Pfeil, Rechteck, abgerundetes Rechteck, Ellipse, Dreieck, Raute und Stern.</w:t>
            </w:r>
          </w:p>
        </w:tc>
      </w:tr>
      <w:tr>
        <w:tc>
          <w:tcPr>
            <w:tcW w:type="dxa" w:w="3026"/>
            <w:tcMar>
              <w:top w:type="dxa" w:w="60"/>
              <w:left w:type="dxa" w:w="120"/>
              <w:bottom w:type="dxa" w:w="60"/>
              <w:right w:type="dxa" w:w="120"/>
            </w:tcMar>
          </w:tcPr>
          <w:p>
            <w:r>
              <w:rPr>
                <w:b w:val="false"/>
                <w:bCs w:val="false"/>
              </w:rPr>
              <w:t xml:space="preserve">Farbe / Linienstärke</w:t>
            </w:r>
          </w:p>
        </w:tc>
        <w:tc>
          <w:tcPr>
            <w:tcW w:type="dxa" w:w="6000"/>
            <w:tcMar>
              <w:top w:type="dxa" w:w="60"/>
              <w:left w:type="dxa" w:w="120"/>
              <w:bottom w:type="dxa" w:w="60"/>
              <w:right w:type="dxa" w:w="120"/>
            </w:tcMar>
          </w:tcPr>
          <w:p>
            <w:r>
              <w:rPr>
                <w:b w:val="false"/>
                <w:bCs w:val="false"/>
              </w:rPr>
              <w:t xml:space="preserve">Farbe und Strichdicke für alle Werkzeuge.</w:t>
            </w:r>
          </w:p>
        </w:tc>
      </w:tr>
      <w:tr>
        <w:tc>
          <w:tcPr>
            <w:tcW w:type="dxa" w:w="3026"/>
            <w:tcMar>
              <w:top w:type="dxa" w:w="60"/>
              <w:left w:type="dxa" w:w="120"/>
              <w:bottom w:type="dxa" w:w="60"/>
              <w:right w:type="dxa" w:w="120"/>
            </w:tcMar>
          </w:tcPr>
          <w:p>
            <w:r>
              <w:rPr>
                <w:b w:val="false"/>
                <w:bCs w:val="false"/>
              </w:rPr>
              <w:t xml:space="preserve">Rückgängig</w:t>
            </w:r>
          </w:p>
        </w:tc>
        <w:tc>
          <w:tcPr>
            <w:tcW w:type="dxa" w:w="6000"/>
            <w:tcMar>
              <w:top w:type="dxa" w:w="60"/>
              <w:left w:type="dxa" w:w="120"/>
              <w:bottom w:type="dxa" w:w="60"/>
              <w:right w:type="dxa" w:w="120"/>
            </w:tcMar>
          </w:tcPr>
          <w:p>
            <w:r>
              <w:rPr>
                <w:b w:val="false"/>
                <w:bCs w:val="false"/>
              </w:rPr>
              <w:t xml:space="preserve">Letzten Schritt zurücknehmen.</w:t>
            </w:r>
          </w:p>
        </w:tc>
      </w:tr>
    </w:tbl>
    <w:p>
      <w:pPr>
        <w:spacing w:after="120"/>
      </w:pPr>
      <w:r>
        <w:t xml:space="preserve">Zum Abschluss stehen im Editor Speichern unter…, In die Zwischenablage kopieren und Drucken bereit.</w:t>
      </w:r>
    </w:p>
    <w:p>
      <w:pPr>
        <w:pStyle w:val="Heading1"/>
      </w:pPr>
      <w:r>
        <w:t xml:space="preserve">5. Bildschirmvideo aufnehmen</w:t>
      </w:r>
    </w:p>
    <w:p>
      <w:pPr>
        <w:spacing w:after="120"/>
      </w:pPr>
      <w:r>
        <w:t xml:space="preserve">Mit Video aufnehmen zeichnest du den Bildschirm als Videodatei auf. Es gibt drei Varianten: den ganzen Bildschirm, einen aufgezogenen Bereich oder eine bestimmte Anwendung (Fenster).</w:t>
      </w:r>
    </w:p>
    <w:p>
      <w:pPr>
        <w:pStyle w:val="Heading2"/>
      </w:pPr>
      <w:r>
        <w:t xml:space="preserve">Ablauf</w:t>
      </w:r>
    </w:p>
    <w:p>
      <w:pPr>
        <w:pStyle w:val="ListParagraph"/>
        <w:numPr>
          <w:ilvl w:val="0"/>
          <w:numId w:val="3"/>
        </w:numPr>
        <w:spacing w:after="80"/>
      </w:pPr>
      <w:r>
        <w:t xml:space="preserve">Aufnahme über Tray-Menü oder Tastenkürzel starten (bei „Bereich“ zuvor den Ausschnitt aufziehen, bei „Anwendung“ das Fenster auswählen – siehe unten).</w:t>
      </w:r>
    </w:p>
    <w:p>
      <w:pPr>
        <w:pStyle w:val="ListParagraph"/>
        <w:numPr>
          <w:ilvl w:val="0"/>
          <w:numId w:val="3"/>
        </w:numPr>
        <w:spacing w:after="80"/>
      </w:pPr>
      <w:r>
        <w:t xml:space="preserve">Es erscheint ein Countdown. Er dient als Vorlaufzeit und taucht selbst nicht im Video auf. Während des Countdowns legst du fest, ob Ton mit aufgenommen wird (siehe Abschnitt 6). Abbrechen mit Esc oder Klick auf den Hintergrund.</w:t>
      </w:r>
    </w:p>
    <w:p>
      <w:pPr>
        <w:pStyle w:val="ListParagraph"/>
        <w:numPr>
          <w:ilvl w:val="0"/>
          <w:numId w:val="3"/>
        </w:numPr>
        <w:spacing w:after="80"/>
      </w:pPr>
      <w:r>
        <w:t xml:space="preserve">Nach dem Countdown läuft die Aufnahme; eine kleine Leiste zeigt die Laufzeit und einen Stopp-Knopf. Stoppen geht auch über das Tray-Menü (Aufnahme stoppen).</w:t>
      </w:r>
    </w:p>
    <w:p>
      <w:pPr>
        <w:pStyle w:val="ListParagraph"/>
        <w:numPr>
          <w:ilvl w:val="0"/>
          <w:numId w:val="3"/>
        </w:numPr>
        <w:spacing w:after="80"/>
      </w:pPr>
      <w:r>
        <w:t xml:space="preserve">Nach dem Stoppen fragt das Programm, wo die Datei gespeichert werden soll.</w:t>
      </w:r>
    </w:p>
    <w:p>
      <w:pPr>
        <w:pStyle w:val="Heading2"/>
      </w:pPr>
      <w:r>
        <w:t xml:space="preserve">Modus „Anwendung“ – ein Fenster aufnehmen</w:t>
      </w:r>
    </w:p>
    <w:p>
      <w:pPr>
        <w:spacing w:after="120"/>
      </w:pPr>
      <w:r>
        <w:t xml:space="preserve">Bei Video aufnehmen – Anwendung wählst du zunächst aus einer Liste das aufzunehmende Fenster. Die Liste zeigt zu jedem Eintrag das Fenster (Titel), den Anwendungsnamen und das App-Symbol; der Auswahldialog bleibt immer im Vordergrund.</w:t>
      </w:r>
    </w:p>
    <w:p>
      <w:pPr>
        <w:spacing w:after="120"/>
      </w:pPr>
      <w:r>
        <w:t xml:space="preserve">Die Aufnahme bleibt anschließend auf dieses Fenster fokussiert: Verschiebst du es, folgt die „Kamera“ der neuen Position; änderst du seine Größe, wird der Inhalt seitenverhältniswahrend in die feste Videogröße eingepasst (bei Bedarf mit schwarzem Rand). Die Videogröße wird beim Start aus der aktuellen Fenstergröße festgelegt.</w:t>
      </w:r>
    </w:p>
    <w:p>
      <w:pPr>
        <w:pStyle w:val="ListParagraph"/>
        <w:numPr>
          <w:ilvl w:val="0"/>
          <w:numId w:val="2"/>
        </w:numPr>
        <w:spacing w:after="60"/>
      </w:pPr>
      <w:r>
        <w:t xml:space="preserve">Ein minimiertes Fenster erscheint ebenfalls in der Liste und wird beim Start automatisch wiederhergestellt und in den Vordergrund geholt.</w:t>
      </w:r>
    </w:p>
    <w:p>
      <w:pPr>
        <w:pStyle w:val="ListParagraph"/>
        <w:numPr>
          <w:ilvl w:val="0"/>
          <w:numId w:val="2"/>
        </w:numPr>
        <w:spacing w:after="60"/>
      </w:pPr>
      <w:r>
        <w:t xml:space="preserve">Wird das Fenster geschlossen, endet die Aufnahme automatisch. Ist es kurzzeitig minimiert, zeichnet das Programm so lange ein schwarzes Bild auf und nimmt danach wieder normal auf.</w:t>
      </w:r>
    </w:p>
    <w:p>
      <w:pPr>
        <w:pStyle w:val="ListParagraph"/>
        <w:numPr>
          <w:ilvl w:val="0"/>
          <w:numId w:val="2"/>
        </w:numPr>
        <w:spacing w:after="60"/>
      </w:pPr>
      <w:r>
        <w:t xml:space="preserve">Es wird der Bildschirmbereich des Fensters erfasst (was zu sehen ist). Liegt zeitweise ein anderes Fenster darüber, ist das im Video sichtbar.</w:t>
      </w:r>
    </w:p>
    <w:p>
      <w:pPr>
        <w:pStyle w:val="Heading2"/>
      </w:pPr>
      <w:r>
        <w:t xml:space="preserve">Technische Hinweise</w:t>
      </w:r>
    </w:p>
    <w:p>
      <w:pPr>
        <w:pStyle w:val="ListParagraph"/>
        <w:numPr>
          <w:ilvl w:val="0"/>
          <w:numId w:val="2"/>
        </w:numPr>
        <w:spacing w:after="60"/>
      </w:pPr>
      <w:r>
        <w:t xml:space="preserve">Das Video wird als AVI im Motion-JPEG-Format geschrieben und lässt sich u. a. mit dem Windows Media Player und dem VLC abspielen.</w:t>
      </w:r>
    </w:p>
    <w:p>
      <w:pPr>
        <w:pStyle w:val="ListParagraph"/>
        <w:numPr>
          <w:ilvl w:val="0"/>
          <w:numId w:val="2"/>
        </w:numPr>
        <w:spacing w:after="60"/>
      </w:pPr>
      <w:r>
        <w:t xml:space="preserve">Der Mauszeiger wird mit aufgezeichnet.</w:t>
      </w:r>
    </w:p>
    <w:p>
      <w:pPr>
        <w:pStyle w:val="ListParagraph"/>
        <w:numPr>
          <w:ilvl w:val="0"/>
          <w:numId w:val="2"/>
        </w:numPr>
        <w:spacing w:after="60"/>
      </w:pPr>
      <w:r>
        <w:t xml:space="preserve">Die Vorlaufzeit des Countdowns stellst du unter Tastenkürzel… ein (Feld „Verzögerung vor Aufnahme“). Wert 0 startet ohne Countdown – dann gelten für den Ton die zuletzt gespeicherten Einstellungen.</w:t>
      </w:r>
    </w:p>
    <w:p>
      <w:pPr>
        <w:pStyle w:val="ListParagraph"/>
        <w:numPr>
          <w:ilvl w:val="0"/>
          <w:numId w:val="2"/>
        </w:numPr>
        <w:spacing w:after="60"/>
      </w:pPr>
      <w:r>
        <w:t xml:space="preserve">Wegen des AVI-Formats ist eine Aufnahme auf knapp 2 GB begrenzt; das Programm beendet die Aufnahme sauber, bevor diese Grenze erreicht wird.</w:t>
      </w:r>
    </w:p>
    <w:p>
      <w:pPr>
        <w:pStyle w:val="Heading1"/>
      </w:pPr>
      <w:r>
        <w:t xml:space="preserve">6. Ton aufnehmen (System &amp; Mikrofon)</w:t>
      </w:r>
    </w:p>
    <w:p>
      <w:pPr>
        <w:spacing w:after="120"/>
      </w:pPr>
      <w:r>
        <w:t xml:space="preserve">Während des Countdowns siehst du unter dem Zähler zwei Schalter:</w:t>
      </w:r>
    </w:p>
    <w:p>
      <w:pPr>
        <w:pStyle w:val="ListParagraph"/>
        <w:numPr>
          <w:ilvl w:val="0"/>
          <w:numId w:val="2"/>
        </w:numPr>
        <w:spacing w:after="60"/>
      </w:pPr>
      <w:r>
        <w:rPr>
          <w:b/>
          <w:bCs/>
        </w:rPr>
        <w:t xml:space="preserve">Computer-Audio </w:t>
      </w:r>
      <w:r>
        <w:t xml:space="preserve">– nimmt den Ton auf, der auf dem Standard-Wiedergabegerät läuft (Systemklänge, Musik, Videoton).</w:t>
      </w:r>
    </w:p>
    <w:p>
      <w:pPr>
        <w:pStyle w:val="ListParagraph"/>
        <w:numPr>
          <w:ilvl w:val="0"/>
          <w:numId w:val="2"/>
        </w:numPr>
        <w:spacing w:after="60"/>
      </w:pPr>
      <w:r>
        <w:rPr>
          <w:b/>
          <w:bCs/>
        </w:rPr>
        <w:t xml:space="preserve">Mikrofon </w:t>
      </w:r>
      <w:r>
        <w:t xml:space="preserve">– nimmt das Standard-Aufnahmegerät auf.</w:t>
      </w:r>
    </w:p>
    <w:p>
      <w:pPr>
        <w:spacing w:after="120"/>
      </w:pPr>
      <w:r>
        <w:t xml:space="preserve">Beide Quellen lassen sich einzeln oder gemeinsam aktivieren. Sind beide aktiv, werden sie gemischt und gemeinsam in die Videodatei geschrieben. Die getroffene Auswahl wird gemerkt und ist beim nächsten Mal voreingestellt.</w:t>
      </w:r>
    </w:p>
    <w:p>
      <w:pPr>
        <w:pBdr>
          <w:left w:val="single" w:color="2E78D2" w:sz="24" w:space="12"/>
        </w:pBdr>
        <w:shd w:fill="EEF4FC" w:val="clear"/>
        <w:spacing w:after="160" w:before="120"/>
        <w:ind w:left="120"/>
      </w:pPr>
      <w:r>
        <w:rPr>
          <w:b/>
          <w:bCs/>
        </w:rPr>
        <w:t xml:space="preserve">Mikrofon-Verstärkung </w:t>
      </w:r>
      <w:r>
        <w:br/>
        <w:t xml:space="preserve">Mikrofone sind in der Aufnahme oft sehr leise. Unter Tastenkürzel… gibt es das Feld Mikrofon-Verstärkung (Werte 1–20). Erhöhe den Wert schrittweise, bis Sprache klar hörbar ist, ohne zu übersteuern. Ergänzend hilft es, in den Windows-Sound-Einstellungen den Eingangspegel bzw. den Mikrofon-Boost des Geräts anzuheben.</w:t>
      </w:r>
    </w:p>
    <w:p>
      <w:pPr>
        <w:pBdr>
          <w:left w:val="single" w:color="E0A012" w:sz="24" w:space="12"/>
        </w:pBdr>
        <w:shd w:fill="FFF7E6" w:val="clear"/>
        <w:spacing w:after="160" w:before="120"/>
        <w:ind w:left="120"/>
      </w:pPr>
      <w:r>
        <w:rPr>
          <w:b/>
          <w:bCs/>
        </w:rPr>
        <w:t xml:space="preserve">Mikrofon liefert keinen oder zu leisen Ton? </w:t>
      </w:r>
      <w:r>
        <w:br/>
        <w:t xml:space="preserve">Klassische Desktop-Programme brauchen unter Windows eine eigene Mikrofon-Freigabe. Aktiviere sie unter Einstellungen → Datenschutz &amp; Sicherheit → Mikrofon – besonders den Punkt „Desktop-Apps den Zugriff auf das Mikrofon erlauben“. Ohne diese Freigabe bleibt die Mikrofonspur stumm. Mehr dazu im Abschnitt 9.</w:t>
      </w:r>
    </w:p>
    <w:p>
      <w:pPr>
        <w:pStyle w:val="Heading1"/>
      </w:pPr>
      <w:r>
        <w:t xml:space="preserve">7. Tastenkürzel anpassen</w:t>
      </w:r>
    </w:p>
    <w:p>
      <w:pPr>
        <w:spacing w:after="120"/>
      </w:pPr>
      <w:r>
        <w:t xml:space="preserve">Über Tastenkürzel… öffnest du die Einstellungen. Klicke in ein Feld und drücke die gewünschte Kombination (mit Strg / Alt / Umschalt). Im selben Dialog stellst du die Vorlaufzeit der Aufnahme und die Mikrofon-Verstärkung ein.</w:t>
      </w:r>
    </w:p>
    <w:p>
      <w:pPr>
        <w:pStyle w:val="Heading2"/>
      </w:pPr>
      <w:r>
        <w:t xml:space="preserve">Standard-Belegung</w:t>
      </w:r>
    </w:p>
    <w:tbl>
      <w:tblPr>
        <w:tblW w:type="dxa" w:w="9026"/>
        <w:tblBorders>
          <w:top w:val="single" w:color="CCCCCC" w:sz="1"/>
          <w:left w:val="single" w:color="CCCCCC" w:sz="1"/>
          <w:bottom w:val="single" w:color="CCCCCC" w:sz="1"/>
          <w:right w:val="single" w:color="CCCCCC" w:sz="1"/>
          <w:insideH w:val="single" w:color="CCCCCC" w:sz="1"/>
          <w:insideV w:val="single" w:color="CCCCCC" w:sz="1"/>
        </w:tblBorders>
      </w:tblPr>
      <w:tblGrid>
        <w:gridCol w:w="3026"/>
        <w:gridCol w:w="3000"/>
        <w:gridCol w:w="3000"/>
      </w:tblGrid>
      <w:tr>
        <w:trPr>
          <w:tblHeader/>
        </w:trPr>
        <w:tc>
          <w:tcPr>
            <w:tcW w:type="dxa" w:w="3026"/>
            <w:shd w:fill="F0F3F7" w:val="clear"/>
            <w:tcMar>
              <w:top w:type="dxa" w:w="60"/>
              <w:left w:type="dxa" w:w="120"/>
              <w:bottom w:type="dxa" w:w="60"/>
              <w:right w:type="dxa" w:w="120"/>
            </w:tcMar>
          </w:tcPr>
          <w:p>
            <w:r>
              <w:rPr>
                <w:b/>
                <w:bCs/>
              </w:rPr>
              <w:t xml:space="preserve">Funktion</w:t>
            </w:r>
          </w:p>
        </w:tc>
        <w:tc>
          <w:tcPr>
            <w:tcW w:type="dxa" w:w="3000"/>
            <w:shd w:fill="F0F3F7" w:val="clear"/>
            <w:tcMar>
              <w:top w:type="dxa" w:w="60"/>
              <w:left w:type="dxa" w:w="120"/>
              <w:bottom w:type="dxa" w:w="60"/>
              <w:right w:type="dxa" w:w="120"/>
            </w:tcMar>
          </w:tcPr>
          <w:p>
            <w:r>
              <w:rPr>
                <w:b/>
                <w:bCs/>
              </w:rPr>
              <w:t xml:space="preserve">Ganzer Bildschirm</w:t>
            </w:r>
          </w:p>
        </w:tc>
        <w:tc>
          <w:tcPr>
            <w:tcW w:type="dxa" w:w="3000"/>
            <w:shd w:fill="F0F3F7" w:val="clear"/>
            <w:tcMar>
              <w:top w:type="dxa" w:w="60"/>
              <w:left w:type="dxa" w:w="120"/>
              <w:bottom w:type="dxa" w:w="60"/>
              <w:right w:type="dxa" w:w="120"/>
            </w:tcMar>
          </w:tcPr>
          <w:p>
            <w:r>
              <w:rPr>
                <w:b/>
                <w:bCs/>
              </w:rPr>
              <w:t xml:space="preserve">Bereich</w:t>
            </w:r>
          </w:p>
        </w:tc>
      </w:tr>
      <w:tr>
        <w:tc>
          <w:tcPr>
            <w:tcW w:type="dxa" w:w="3026"/>
            <w:tcMar>
              <w:top w:type="dxa" w:w="60"/>
              <w:left w:type="dxa" w:w="120"/>
              <w:bottom w:type="dxa" w:w="60"/>
              <w:right w:type="dxa" w:w="120"/>
            </w:tcMar>
          </w:tcPr>
          <w:p>
            <w:r>
              <w:rPr>
                <w:b w:val="false"/>
                <w:bCs w:val="false"/>
              </w:rPr>
              <w:t xml:space="preserve">Aktion wählen</w:t>
            </w:r>
          </w:p>
        </w:tc>
        <w:tc>
          <w:tcPr>
            <w:tcW w:type="dxa" w:w="3000"/>
            <w:gridSpan w:val="2"/>
            <w:tcMar>
              <w:top w:type="dxa" w:w="60"/>
              <w:left w:type="dxa" w:w="120"/>
              <w:bottom w:type="dxa" w:w="60"/>
              <w:right w:type="dxa" w:w="120"/>
            </w:tcMar>
          </w:tcPr>
          <w:p>
            <w:r>
              <w:rPr>
                <w:rFonts w:ascii="Consolas" w:cs="Consolas" w:eastAsia="Consolas" w:hAnsi="Consolas"/>
                <w:sz w:val="20"/>
                <w:szCs w:val="20"/>
              </w:rPr>
              <w:t xml:space="preserve">Strg + Alt + X</w:t>
            </w:r>
          </w:p>
        </w:tc>
      </w:tr>
      <w:tr>
        <w:tc>
          <w:tcPr>
            <w:tcW w:type="dxa" w:w="3026"/>
            <w:tcMar>
              <w:top w:type="dxa" w:w="60"/>
              <w:left w:type="dxa" w:w="120"/>
              <w:bottom w:type="dxa" w:w="60"/>
              <w:right w:type="dxa" w:w="120"/>
            </w:tcMar>
          </w:tcPr>
          <w:p>
            <w:r>
              <w:rPr>
                <w:b w:val="false"/>
                <w:bCs w:val="false"/>
              </w:rPr>
              <w:t xml:space="preserve">Speichern</w:t>
            </w:r>
          </w:p>
        </w:tc>
        <w:tc>
          <w:tcPr>
            <w:tcW w:type="dxa" w:w="3000"/>
            <w:tcMar>
              <w:top w:type="dxa" w:w="60"/>
              <w:left w:type="dxa" w:w="120"/>
              <w:bottom w:type="dxa" w:w="60"/>
              <w:right w:type="dxa" w:w="120"/>
            </w:tcMar>
          </w:tcPr>
          <w:p>
            <w:r>
              <w:rPr>
                <w:rFonts w:ascii="Consolas" w:cs="Consolas" w:eastAsia="Consolas" w:hAnsi="Consolas"/>
                <w:sz w:val="20"/>
                <w:szCs w:val="20"/>
              </w:rPr>
              <w:t xml:space="preserve">Strg + Umschalt + F</w:t>
            </w:r>
          </w:p>
        </w:tc>
        <w:tc>
          <w:tcPr>
            <w:tcW w:type="dxa" w:w="3000"/>
            <w:tcMar>
              <w:top w:type="dxa" w:w="60"/>
              <w:left w:type="dxa" w:w="120"/>
              <w:bottom w:type="dxa" w:w="60"/>
              <w:right w:type="dxa" w:w="120"/>
            </w:tcMar>
          </w:tcPr>
          <w:p>
            <w:r>
              <w:rPr>
                <w:rFonts w:ascii="Consolas" w:cs="Consolas" w:eastAsia="Consolas" w:hAnsi="Consolas"/>
                <w:sz w:val="20"/>
                <w:szCs w:val="20"/>
              </w:rPr>
              <w:t xml:space="preserve">Strg + Alt + F</w:t>
            </w:r>
          </w:p>
        </w:tc>
      </w:tr>
      <w:tr>
        <w:tc>
          <w:tcPr>
            <w:tcW w:type="dxa" w:w="3026"/>
            <w:tcMar>
              <w:top w:type="dxa" w:w="60"/>
              <w:left w:type="dxa" w:w="120"/>
              <w:bottom w:type="dxa" w:w="60"/>
              <w:right w:type="dxa" w:w="120"/>
            </w:tcMar>
          </w:tcPr>
          <w:p>
            <w:r>
              <w:rPr>
                <w:b w:val="false"/>
                <w:bCs w:val="false"/>
              </w:rPr>
              <w:t xml:space="preserve">In die Zwischenablage</w:t>
            </w:r>
          </w:p>
        </w:tc>
        <w:tc>
          <w:tcPr>
            <w:tcW w:type="dxa" w:w="3000"/>
            <w:tcMar>
              <w:top w:type="dxa" w:w="60"/>
              <w:left w:type="dxa" w:w="120"/>
              <w:bottom w:type="dxa" w:w="60"/>
              <w:right w:type="dxa" w:w="120"/>
            </w:tcMar>
          </w:tcPr>
          <w:p>
            <w:r>
              <w:rPr>
                <w:rFonts w:ascii="Consolas" w:cs="Consolas" w:eastAsia="Consolas" w:hAnsi="Consolas"/>
                <w:sz w:val="20"/>
                <w:szCs w:val="20"/>
              </w:rPr>
              <w:t xml:space="preserve">Strg + Umschalt + L</w:t>
            </w:r>
          </w:p>
        </w:tc>
        <w:tc>
          <w:tcPr>
            <w:tcW w:type="dxa" w:w="3000"/>
            <w:tcMar>
              <w:top w:type="dxa" w:w="60"/>
              <w:left w:type="dxa" w:w="120"/>
              <w:bottom w:type="dxa" w:w="60"/>
              <w:right w:type="dxa" w:w="120"/>
            </w:tcMar>
          </w:tcPr>
          <w:p>
            <w:r>
              <w:rPr>
                <w:rFonts w:ascii="Consolas" w:cs="Consolas" w:eastAsia="Consolas" w:hAnsi="Consolas"/>
                <w:sz w:val="20"/>
                <w:szCs w:val="20"/>
              </w:rPr>
              <w:t xml:space="preserve">Strg + Alt + L</w:t>
            </w:r>
          </w:p>
        </w:tc>
      </w:tr>
      <w:tr>
        <w:tc>
          <w:tcPr>
            <w:tcW w:type="dxa" w:w="3026"/>
            <w:tcMar>
              <w:top w:type="dxa" w:w="60"/>
              <w:left w:type="dxa" w:w="120"/>
              <w:bottom w:type="dxa" w:w="60"/>
              <w:right w:type="dxa" w:w="120"/>
            </w:tcMar>
          </w:tcPr>
          <w:p>
            <w:r>
              <w:rPr>
                <w:b w:val="false"/>
                <w:bCs w:val="false"/>
              </w:rPr>
              <w:t xml:space="preserve">Drucken</w:t>
            </w:r>
          </w:p>
        </w:tc>
        <w:tc>
          <w:tcPr>
            <w:tcW w:type="dxa" w:w="3000"/>
            <w:tcMar>
              <w:top w:type="dxa" w:w="60"/>
              <w:left w:type="dxa" w:w="120"/>
              <w:bottom w:type="dxa" w:w="60"/>
              <w:right w:type="dxa" w:w="120"/>
            </w:tcMar>
          </w:tcPr>
          <w:p>
            <w:r>
              <w:rPr>
                <w:rFonts w:ascii="Consolas" w:cs="Consolas" w:eastAsia="Consolas" w:hAnsi="Consolas"/>
                <w:sz w:val="20"/>
                <w:szCs w:val="20"/>
              </w:rPr>
              <w:t xml:space="preserve">Strg + Umschalt + D</w:t>
            </w:r>
          </w:p>
        </w:tc>
        <w:tc>
          <w:tcPr>
            <w:tcW w:type="dxa" w:w="3000"/>
            <w:tcMar>
              <w:top w:type="dxa" w:w="60"/>
              <w:left w:type="dxa" w:w="120"/>
              <w:bottom w:type="dxa" w:w="60"/>
              <w:right w:type="dxa" w:w="120"/>
            </w:tcMar>
          </w:tcPr>
          <w:p>
            <w:r>
              <w:rPr>
                <w:rFonts w:ascii="Consolas" w:cs="Consolas" w:eastAsia="Consolas" w:hAnsi="Consolas"/>
                <w:sz w:val="20"/>
                <w:szCs w:val="20"/>
              </w:rPr>
              <w:t xml:space="preserve">Strg + Alt + D</w:t>
            </w:r>
          </w:p>
        </w:tc>
      </w:tr>
      <w:tr>
        <w:tc>
          <w:tcPr>
            <w:tcW w:type="dxa" w:w="3026"/>
            <w:tcMar>
              <w:top w:type="dxa" w:w="60"/>
              <w:left w:type="dxa" w:w="120"/>
              <w:bottom w:type="dxa" w:w="60"/>
              <w:right w:type="dxa" w:w="120"/>
            </w:tcMar>
          </w:tcPr>
          <w:p>
            <w:r>
              <w:rPr>
                <w:b w:val="false"/>
                <w:bCs w:val="false"/>
              </w:rPr>
              <w:t xml:space="preserve">Bearbeiten</w:t>
            </w:r>
          </w:p>
        </w:tc>
        <w:tc>
          <w:tcPr>
            <w:tcW w:type="dxa" w:w="3000"/>
            <w:tcMar>
              <w:top w:type="dxa" w:w="60"/>
              <w:left w:type="dxa" w:w="120"/>
              <w:bottom w:type="dxa" w:w="60"/>
              <w:right w:type="dxa" w:w="120"/>
            </w:tcMar>
          </w:tcPr>
          <w:p>
            <w:r>
              <w:rPr>
                <w:rFonts w:ascii="Consolas" w:cs="Consolas" w:eastAsia="Consolas" w:hAnsi="Consolas"/>
                <w:sz w:val="20"/>
                <w:szCs w:val="20"/>
              </w:rPr>
              <w:t xml:space="preserve">Strg + Umschalt + O</w:t>
            </w:r>
          </w:p>
        </w:tc>
        <w:tc>
          <w:tcPr>
            <w:tcW w:type="dxa" w:w="3000"/>
            <w:tcMar>
              <w:top w:type="dxa" w:w="60"/>
              <w:left w:type="dxa" w:w="120"/>
              <w:bottom w:type="dxa" w:w="60"/>
              <w:right w:type="dxa" w:w="120"/>
            </w:tcMar>
          </w:tcPr>
          <w:p>
            <w:r>
              <w:rPr>
                <w:rFonts w:ascii="Consolas" w:cs="Consolas" w:eastAsia="Consolas" w:hAnsi="Consolas"/>
                <w:sz w:val="20"/>
                <w:szCs w:val="20"/>
              </w:rPr>
              <w:t xml:space="preserve">Strg + Alt + O</w:t>
            </w:r>
          </w:p>
        </w:tc>
      </w:tr>
      <w:tr>
        <w:tc>
          <w:tcPr>
            <w:tcW w:type="dxa" w:w="3026"/>
            <w:tcMar>
              <w:top w:type="dxa" w:w="60"/>
              <w:left w:type="dxa" w:w="120"/>
              <w:bottom w:type="dxa" w:w="60"/>
              <w:right w:type="dxa" w:w="120"/>
            </w:tcMar>
          </w:tcPr>
          <w:p>
            <w:r>
              <w:rPr>
                <w:b w:val="false"/>
                <w:bCs w:val="false"/>
              </w:rPr>
              <w:t xml:space="preserve">Video aufnehmen</w:t>
            </w:r>
          </w:p>
        </w:tc>
        <w:tc>
          <w:tcPr>
            <w:tcW w:type="dxa" w:w="3000"/>
            <w:tcMar>
              <w:top w:type="dxa" w:w="60"/>
              <w:left w:type="dxa" w:w="120"/>
              <w:bottom w:type="dxa" w:w="60"/>
              <w:right w:type="dxa" w:w="120"/>
            </w:tcMar>
          </w:tcPr>
          <w:p>
            <w:r>
              <w:rPr>
                <w:rFonts w:ascii="Consolas" w:cs="Consolas" w:eastAsia="Consolas" w:hAnsi="Consolas"/>
                <w:sz w:val="20"/>
                <w:szCs w:val="20"/>
              </w:rPr>
              <w:t xml:space="preserve">Strg + Umschalt + V</w:t>
            </w:r>
          </w:p>
        </w:tc>
        <w:tc>
          <w:tcPr>
            <w:tcW w:type="dxa" w:w="3000"/>
            <w:tcMar>
              <w:top w:type="dxa" w:w="60"/>
              <w:left w:type="dxa" w:w="120"/>
              <w:bottom w:type="dxa" w:w="60"/>
              <w:right w:type="dxa" w:w="120"/>
            </w:tcMar>
          </w:tcPr>
          <w:p>
            <w:r>
              <w:rPr>
                <w:rFonts w:ascii="Consolas" w:cs="Consolas" w:eastAsia="Consolas" w:hAnsi="Consolas"/>
                <w:sz w:val="20"/>
                <w:szCs w:val="20"/>
              </w:rPr>
              <w:t xml:space="preserve">Strg + Alt + V</w:t>
            </w:r>
          </w:p>
        </w:tc>
      </w:tr>
      <w:tr>
        <w:tc>
          <w:tcPr>
            <w:tcW w:type="dxa" w:w="3026"/>
            <w:tcMar>
              <w:top w:type="dxa" w:w="60"/>
              <w:left w:type="dxa" w:w="120"/>
              <w:bottom w:type="dxa" w:w="60"/>
              <w:right w:type="dxa" w:w="120"/>
            </w:tcMar>
          </w:tcPr>
          <w:p>
            <w:r>
              <w:rPr>
                <w:b w:val="false"/>
                <w:bCs w:val="false"/>
              </w:rPr>
              <w:t xml:space="preserve">Video aufnehmen – Anwendung</w:t>
            </w:r>
          </w:p>
        </w:tc>
        <w:tc>
          <w:tcPr>
            <w:tcW w:type="dxa" w:w="3000"/>
            <w:gridSpan w:val="2"/>
            <w:tcMar>
              <w:top w:type="dxa" w:w="60"/>
              <w:left w:type="dxa" w:w="120"/>
              <w:bottom w:type="dxa" w:w="60"/>
              <w:right w:type="dxa" w:w="120"/>
            </w:tcMar>
          </w:tcPr>
          <w:p>
            <w:r>
              <w:rPr>
                <w:rFonts w:ascii="Consolas" w:cs="Consolas" w:eastAsia="Consolas" w:hAnsi="Consolas"/>
                <w:sz w:val="20"/>
                <w:szCs w:val="20"/>
              </w:rPr>
              <w:t xml:space="preserve">Strg + Alt + A</w:t>
            </w:r>
          </w:p>
        </w:tc>
      </w:tr>
    </w:tbl>
    <w:p>
      <w:pPr>
        <w:spacing w:after="120"/>
      </w:pPr>
      <w:r>
        <w:t xml:space="preserve">Du kannst jede Kombination frei umbelegen. Die Einstellungen werden pro Benutzer gespeichert.</w:t>
      </w:r>
    </w:p>
    <w:p>
      <w:pPr>
        <w:pStyle w:val="Heading1"/>
      </w:pPr>
      <w:r>
        <w:t xml:space="preserve">8. Sprache, Autostart, Spickzettel</w:t>
      </w:r>
    </w:p>
    <w:p>
      <w:pPr>
        <w:pStyle w:val="ListParagraph"/>
        <w:numPr>
          <w:ilvl w:val="0"/>
          <w:numId w:val="2"/>
        </w:numPr>
        <w:spacing w:after="60"/>
      </w:pPr>
      <w:r>
        <w:rPr>
          <w:b/>
          <w:bCs/>
        </w:rPr>
        <w:t xml:space="preserve">Sprache </w:t>
      </w:r>
      <w:r>
        <w:t xml:space="preserve">– im Tray-Menü unter Sprache umschaltbar. Die Oberfläche wird sofort übernommen.</w:t>
      </w:r>
    </w:p>
    <w:p>
      <w:pPr>
        <w:pStyle w:val="ListParagraph"/>
        <w:numPr>
          <w:ilvl w:val="0"/>
          <w:numId w:val="2"/>
        </w:numPr>
        <w:spacing w:after="60"/>
      </w:pPr>
      <w:r>
        <w:rPr>
          <w:b/>
          <w:bCs/>
        </w:rPr>
        <w:t xml:space="preserve">Autostart </w:t>
      </w:r>
      <w:r>
        <w:t xml:space="preserve">– startet das Tool automatisch bei der Anmeldung. Ein- und ausschaltbar im Tray-Menü.</w:t>
      </w:r>
    </w:p>
    <w:p>
      <w:pPr>
        <w:pStyle w:val="ListParagraph"/>
        <w:numPr>
          <w:ilvl w:val="0"/>
          <w:numId w:val="2"/>
        </w:numPr>
        <w:spacing w:after="60"/>
      </w:pPr>
      <w:r>
        <w:rPr>
          <w:b/>
          <w:bCs/>
        </w:rPr>
        <w:t xml:space="preserve">Spickzettel drucken </w:t>
      </w:r>
      <w:r>
        <w:t xml:space="preserve">– druckt eine Übersicht aller Funktionen mit den aktuell zugewiesenen Tastenkürzeln.</w:t>
      </w:r>
    </w:p>
    <w:p>
      <w:pPr>
        <w:pStyle w:val="ListParagraph"/>
        <w:numPr>
          <w:ilvl w:val="0"/>
          <w:numId w:val="2"/>
        </w:numPr>
        <w:spacing w:after="60"/>
      </w:pPr>
      <w:r>
        <w:rPr>
          <w:b/>
          <w:bCs/>
        </w:rPr>
        <w:t xml:space="preserve">Dokumentation öffnen </w:t>
      </w:r>
      <w:r>
        <w:t xml:space="preserve">– öffnet den Ordner mit diesem Handbuch.</w:t>
      </w:r>
    </w:p>
    <w:p>
      <w:pPr>
        <w:pStyle w:val="Heading1"/>
      </w:pPr>
      <w:r>
        <w:t xml:space="preserve">9. Problembehandlung</w:t>
      </w:r>
    </w:p>
    <w:p>
      <w:pPr>
        <w:pStyle w:val="Heading3"/>
      </w:pPr>
      <w:r>
        <w:t xml:space="preserve">Das Mikrofon wird nur aufgenommen, wenn ein anderes Programm läuft</w:t>
      </w:r>
    </w:p>
    <w:p>
      <w:pPr>
        <w:spacing w:after="120"/>
      </w:pPr>
      <w:r>
        <w:t xml:space="preserve">Ursache ist fast immer die fehlende Mikrofon-Freigabe für Desktop-Programme. Aktiviere unter Einstellungen → Datenschutz &amp; Sicherheit → Mikrofon den Mikrofonzugriff und insbesondere „Desktop-Apps den Zugriff auf das Mikrofon erlauben“. Danach nimmt das Tool das Mikrofon eigenständig auf – ohne dass nebenher ein anderes Aufnahmeprogramm laufen muss.</w:t>
      </w:r>
    </w:p>
    <w:p>
      <w:pPr>
        <w:pStyle w:val="Heading3"/>
      </w:pPr>
      <w:r>
        <w:t xml:space="preserve">Kein System-Ton in der Aufnahme</w:t>
      </w:r>
    </w:p>
    <w:p>
      <w:pPr>
        <w:spacing w:after="120"/>
      </w:pPr>
      <w:r>
        <w:t xml:space="preserve">Prüfe, ob der Schalter Computer-Audio im Countdown aktiviert war und ob auf dem Standard-Wiedergabegerät tatsächlich Ton abgespielt wird.</w:t>
      </w:r>
    </w:p>
    <w:p>
      <w:pPr>
        <w:pStyle w:val="Heading3"/>
      </w:pPr>
      <w:r>
        <w:t xml:space="preserve">Ton ist verzerrt</w:t>
      </w:r>
    </w:p>
    <w:p>
      <w:pPr>
        <w:spacing w:after="120"/>
      </w:pPr>
      <w:r>
        <w:t xml:space="preserve">Die Mikrofon-Verstärkung ist zu hoch eingestellt – reduziere den Wert in den Einstellungen.</w:t>
      </w:r>
    </w:p>
    <w:p>
      <w:pPr>
        <w:pStyle w:val="Heading3"/>
      </w:pPr>
      <w:r>
        <w:t xml:space="preserve">Ton fehlt, obwohl eine Quelle aktiviert war (keine Fehlermeldung)</w:t>
      </w:r>
    </w:p>
    <w:p>
      <w:pPr>
        <w:spacing w:after="120"/>
      </w:pPr>
      <w:r>
        <w:t xml:space="preserve">War für eine gewählte Tonquelle kein Gerät verfügbar (z. B. kein Standard-Wiedergabegerät für Computer-Audio oder kein Standard-Mikrofon), nimmt das Programm die Aufnahme bewusst trotzdem auf – nur ohne diese Tonspur. Prüfe unter Einstellungen → System → Sound, ob unter Ausgabe bzw. Eingabe ein Standardgerät gesetzt ist.</w:t>
      </w:r>
    </w:p>
    <w:p>
      <w:pPr>
        <w:pStyle w:val="Heading3"/>
      </w:pPr>
      <w:r>
        <w:t xml:space="preserve">Eine Anwendung fehlt in der Auswahlliste</w:t>
      </w:r>
    </w:p>
    <w:p>
      <w:pPr>
        <w:spacing w:after="120"/>
      </w:pPr>
      <w:r>
        <w:t xml:space="preserve">Minimierte Fenster werden mit aufgelistet. Apps, die nicht nur minimiert, sondern in den Infobereich (Tray) geschlossen wurden, haben kein Fenster mehr und erscheinen nicht – öffne die App einmal über ihr Tray-Symbol, danach ist sie wählbar. Apps des Typs ApplicationFrameHost (z. B. Rechner) werden unter diesem Namen geführt.</w:t>
      </w:r>
    </w:p>
    <w:p>
      <w:pPr>
        <w:pStyle w:val="Heading3"/>
      </w:pPr>
      <w:r>
        <w:t xml:space="preserve">Tastenkürzel reagiert nicht</w:t>
      </w:r>
    </w:p>
    <w:p>
      <w:pPr>
        <w:spacing w:after="120"/>
      </w:pPr>
      <w:r>
        <w:t xml:space="preserve">Eventuell belegt ein anderes Programm dieselbe Kombination. Wähle in den Einstellungen eine andere Kombination.</w:t>
      </w:r>
    </w:p>
    <w:p>
      <w:pPr>
        <w:pStyle w:val="Heading3"/>
      </w:pPr>
      <w:r>
        <w:t xml:space="preserve">„Dokumentationsordner nicht gefunden“</w:t>
      </w:r>
    </w:p>
    <w:p>
      <w:pPr>
        <w:spacing w:after="120"/>
      </w:pPr>
      <w:r>
        <w:t xml:space="preserve">Der Ordner „Documentation“ wird neben dem Programm ausgeliefert. Bei einer beschädigten Installation hilft eine Neuinstallation.</w:t>
      </w:r>
    </w:p>
    <w:p>
      <w:pPr>
        <w:pStyle w:val="Heading1"/>
      </w:pPr>
      <w:r>
        <w:t xml:space="preserve">10. Über &amp; Kontakt</w:t>
      </w:r>
    </w:p>
    <w:p>
      <w:pPr>
        <w:spacing w:after="120"/>
      </w:pPr>
      <w:r>
        <w:t xml:space="preserve">Extended Snipping Tool · © DieCloud.at – Walter Pachl</w:t>
      </w:r>
    </w:p>
    <w:p>
      <w:pPr>
        <w:spacing w:after="120"/>
      </w:pPr>
      <w:r>
        <w:t xml:space="preserve">Web: diecloud.at · E-Mail: wp@diecloud.at</w:t>
      </w:r>
    </w:p>
    <w:p>
      <w:pPr>
        <w:pBdr>
          <w:top w:val="single" w:color="CCCCCC" w:sz="4" w:space="6"/>
        </w:pBdr>
        <w:spacing w:before="240"/>
      </w:pPr>
      <w:r>
        <w:rPr>
          <w:color w:val="5B626B"/>
          <w:sz w:val="18"/>
          <w:szCs w:val="18"/>
        </w:rPr>
        <w:t xml:space="preserve">Extended Snipping Tool – Benutzerhandbuch. Funktionsumfang und Tastenkürzel können je nach Version und individueller Konfiguration abweichen.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80"/>
      </w:pPr>
    </w:lvl>
  </w:abstractNum>
  <w:abstractNum w:abstractNumId="3" w15:restartNumberingAfterBreak="0">
    <w:multiLevelType w:val="hybridMultilevel"/>
    <w:lvl w:ilvl="0" w15:tentative="1">
      <w:start w:val="1"/>
      <w:numFmt w:val="decimal"/>
      <w:lvlText w:val="%1."/>
      <w:lvlJc w:val="left"/>
      <w:pPr>
        <w:ind w:left="540" w:hanging="28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top w:val="single" w:color="E6E8EC" w:sz="4" w:space="8"/>
      </w:pBdr>
      <w:spacing w:after="140" w:before="300"/>
      <w:outlineLvl w:val="0"/>
    </w:pPr>
    <w:rPr>
      <w:rFonts w:ascii="Arial" w:cs="Arial" w:eastAsia="Arial" w:hAnsi="Arial"/>
      <w:b/>
      <w:bCs/>
      <w:color w:val="1C1F24"/>
      <w:sz w:val="30"/>
      <w:szCs w:val="30"/>
    </w:rPr>
  </w:style>
  <w:style w:type="paragraph" w:styleId="Heading2">
    <w:name w:val="Heading 2"/>
    <w:basedOn w:val="Normal"/>
    <w:next w:val="Normal"/>
    <w:qFormat/>
    <w:pPr>
      <w:spacing w:after="100" w:before="220"/>
      <w:outlineLvl w:val="1"/>
    </w:pPr>
    <w:rPr>
      <w:rFonts w:ascii="Arial" w:cs="Arial" w:eastAsia="Arial" w:hAnsi="Arial"/>
      <w:b/>
      <w:bCs/>
      <w:color w:val="1C1F24"/>
      <w:sz w:val="25"/>
      <w:szCs w:val="25"/>
    </w:rPr>
  </w:style>
  <w:style w:type="paragraph" w:styleId="Heading3">
    <w:name w:val="Heading 3"/>
    <w:basedOn w:val="Normal"/>
    <w:next w:val="Normal"/>
    <w:qFormat/>
    <w:pPr>
      <w:spacing w:after="70" w:before="180"/>
      <w:outlineLvl w:val="2"/>
    </w:pPr>
    <w:rPr>
      <w:rFonts w:ascii="Arial" w:cs="Arial" w:eastAsia="Arial" w:hAnsi="Arial"/>
      <w:b/>
      <w:bCs/>
      <w:color w:val="2E3137"/>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2026-06-19T01:16:45.922Z</dcterms:created>
  <dcterms:modified xsi:type="dcterms:W3CDTF">2026-06-19T01:16:45.923Z</dcterms:modified>
</cp:coreProperties>
</file>

<file path=docProps/custom.xml><?xml version="1.0" encoding="utf-8"?>
<Properties xmlns="http://schemas.openxmlformats.org/officeDocument/2006/custom-properties" xmlns:vt="http://schemas.openxmlformats.org/officeDocument/2006/docPropsVTypes"/>
</file>