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600"/>
      </w:pPr>
    </w:p>
    <w:p>
      <w:pPr>
        <w:spacing w:after="60"/>
        <w:jc w:val="center"/>
      </w:pPr>
      <w:r>
        <w:rPr>
          <w:b/>
          <w:bCs/>
          <w:color w:val="14457E"/>
          <w:sz w:val="64"/>
          <w:szCs w:val="64"/>
        </w:rPr>
        <w:t xml:space="preserve">DieCloud.at Newsletter-System</w:t>
      </w:r>
    </w:p>
    <w:p>
      <w:pPr>
        <w:spacing w:after="480"/>
        <w:jc w:val="center"/>
      </w:pPr>
      <w:r>
        <w:rPr>
          <w:color w:val="1D65B6"/>
          <w:sz w:val="40"/>
          <w:szCs w:val="40"/>
        </w:rPr>
        <w:t xml:space="preserve">Benutzer- und Installationsanleitung</w:t>
      </w:r>
    </w:p>
    <w:p>
      <w:pPr>
        <w:spacing w:after="60"/>
        <w:jc w:val="center"/>
      </w:pPr>
      <w:r>
        <w:rPr>
          <w:color w:val="5B6470"/>
          <w:sz w:val="24"/>
          <w:szCs w:val="24"/>
        </w:rPr>
        <w:t xml:space="preserve">Server-Komponente · DieCloud.MailClient.Server</w:t>
      </w:r>
    </w:p>
    <w:p>
      <w:pPr>
        <w:spacing w:after="900"/>
        <w:jc w:val="center"/>
      </w:pPr>
      <w:r>
        <w:rPr>
          <w:color w:val="5B6470"/>
          <w:sz w:val="24"/>
          <w:szCs w:val="24"/>
        </w:rPr>
        <w:t xml:space="preserve">Client-Komponente · Newsletter Sender (WinForms)</w:t>
      </w:r>
    </w:p>
    <w:p>
      <w:pPr>
        <w:pBdr>
          <w:top w:val="single" w:color="1D65B6" w:sz="6" w:space="8"/>
          <w:bottom w:val="single" w:color="1D65B6" w:sz="6" w:space="8"/>
        </w:pBdr>
        <w:spacing w:after="200" w:before="200"/>
        <w:jc w:val="center"/>
      </w:pPr>
      <w:r>
        <w:rPr>
          <w:b/>
          <w:bCs/>
          <w:sz w:val="26"/>
          <w:szCs w:val="26"/>
        </w:rPr>
        <w:t xml:space="preserve">DieCloud.at</w:t>
      </w:r>
    </w:p>
    <w:p>
      <w:pPr>
        <w:spacing w:before="1400"/>
        <w:jc w:val="center"/>
      </w:pPr>
      <w:r>
        <w:rPr>
          <w:color w:val="5B6470"/>
          <w:sz w:val="22"/>
          <w:szCs w:val="22"/>
        </w:rPr>
        <w:t xml:space="preserve">Version 1.0  ·  Stand: Juni 2026</w:t>
      </w:r>
    </w:p>
    <w:p>
      <w:r>
        <w:br w:type="page"/>
      </w:r>
    </w:p>
    <w:p>
      <w:pPr>
        <w:pStyle w:val="Heading1"/>
      </w:pPr>
      <w:r>
        <w:t xml:space="preserve">Inhaltsverzeichnis</w:t>
      </w:r>
    </w:p>
    <w:sdt>
      <w:sdtPr>
        <w:alias w:val="Inhaltsverzeichni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  Überblick und Systemarchitektur</w:t>
      </w:r>
    </w:p>
    <w:p>
      <w:pPr>
        <w:spacing w:after="140" w:line="276"/>
      </w:pPr>
      <w:r>
        <w:t xml:space="preserve">Das DieCloud.at Newsletter-System besteht aus zwei eigenständig betriebenen Komponenten, die sich eine gemeinsame </w:t>
      </w:r>
      <w:r>
        <w:rPr>
          <w:b/>
          <w:bCs/>
          <w:i w:val="false"/>
          <w:iCs w:val="false"/>
        </w:rPr>
        <w:t xml:space="preserve">MongoDB</w:t>
      </w:r>
      <w:r>
        <w:t xml:space="preserve">-Datenbank und eine gemeinsame Mail-Konfiguration teilen: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Server – DieCloud.MailClient.Server: </w:t>
      </w:r>
      <w:r>
        <w:t xml:space="preserve">Eine öffentlich erreichbare ASP.NET-Core-Webanwendung (Ziel-Framework net9.0). Sie stellt die besucherseitigen Seiten bereit: Newsletter-Anmeldung mit Double-Opt-In, Bestätigungs- und Abmeldeseiten sowie frei konfigurierbare Web-Formulare. Geschützt durch Google reCAPTCHA v2.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Client – Newsletter Sender: </w:t>
      </w:r>
      <w:r>
        <w:t xml:space="preserve">Eine interne Windows-Desktop-Anwendung (WinForms, .NET) für Redaktion und Versand. Hier werden Vorlagen und Newsletter erstellt, Empfängerlisten gepflegt und importiert, Testmails und der Massenversand ausgelöst, die ECG-Robinsonliste geprüft und die Web-Formulare administriert.</w:t>
      </w:r>
    </w:p>
    <w:p>
      <w:pPr>
        <w:pStyle w:val="Heading2"/>
      </w:pPr>
      <w:r>
        <w:t xml:space="preserve">1.1  Datenfluss</w:t>
      </w:r>
    </w:p>
    <w:p>
      <w:pPr>
        <w:spacing w:after="140" w:line="276"/>
      </w:pPr>
      <w:r>
        <w:t xml:space="preserve">Beide Anwendungen arbeiten auf demselben Datenbestand. Der typische Lebenszyklus eines Empfängers:</w:t>
      </w:r>
    </w:p>
    <w:p>
      <w:pPr>
        <w:pStyle w:val="ListParagraph"/>
        <w:numPr>
          <w:ilvl w:val="0"/>
          <w:numId w:val="3"/>
        </w:numPr>
        <w:spacing w:after="80" w:line="268"/>
      </w:pPr>
      <w:r>
        <w:rPr>
          <w:b/>
          <w:bCs/>
        </w:rPr>
        <w:t xml:space="preserve">Anmeldung: </w:t>
      </w:r>
      <w:r>
        <w:t xml:space="preserve">Ein Besucher trägt sich über die Server-Seite </w:t>
      </w:r>
      <w:r>
        <w:rPr>
          <w:rFonts w:ascii="Consolas" w:cs="Consolas" w:eastAsia="Consolas" w:hAnsi="Consolas"/>
          <w:color w:val="B03060"/>
          <w:sz w:val="20"/>
          <w:szCs w:val="20"/>
        </w:rPr>
        <w:t xml:space="preserve">/subscribe</w:t>
      </w:r>
      <w:r>
        <w:t xml:space="preserve"> ein. Der Server legt den Empfänger als „nicht bestätigt“ an und versendet eine Double-Opt-In-Bestätigungsmail.</w:t>
      </w:r>
    </w:p>
    <w:p>
      <w:pPr>
        <w:pStyle w:val="ListParagraph"/>
        <w:numPr>
          <w:ilvl w:val="0"/>
          <w:numId w:val="3"/>
        </w:numPr>
        <w:spacing w:after="80" w:line="268"/>
      </w:pPr>
      <w:r>
        <w:rPr>
          <w:b/>
          <w:bCs/>
        </w:rPr>
        <w:t xml:space="preserve">Bestätigung: </w:t>
      </w:r>
      <w:r>
        <w:t xml:space="preserve">Der Besucher klickt den Link </w:t>
      </w:r>
      <w:r>
        <w:rPr>
          <w:rFonts w:ascii="Consolas" w:cs="Consolas" w:eastAsia="Consolas" w:hAnsi="Consolas"/>
          <w:color w:val="B03060"/>
          <w:sz w:val="20"/>
          <w:szCs w:val="20"/>
        </w:rPr>
        <w:t xml:space="preserve">/newsletter/confirm/{id}</w:t>
      </w:r>
      <w:r>
        <w:t xml:space="preserve">. Der Empfänger wird auf „aktiv/bestätigt“ gesetzt.</w:t>
      </w:r>
    </w:p>
    <w:p>
      <w:pPr>
        <w:pStyle w:val="ListParagraph"/>
        <w:numPr>
          <w:ilvl w:val="0"/>
          <w:numId w:val="3"/>
        </w:numPr>
        <w:spacing w:after="80" w:line="268"/>
      </w:pPr>
      <w:r>
        <w:rPr>
          <w:b/>
          <w:bCs/>
        </w:rPr>
        <w:t xml:space="preserve">Redaktion: </w:t>
      </w:r>
      <w:r>
        <w:t xml:space="preserve">Im Client wird auf Basis einer Vorlage ein Newsletter erstellt; Bilder werden auf den Content-Webspace hochgeladen.</w:t>
      </w:r>
    </w:p>
    <w:p>
      <w:pPr>
        <w:pStyle w:val="ListParagraph"/>
        <w:numPr>
          <w:ilvl w:val="0"/>
          <w:numId w:val="3"/>
        </w:numPr>
        <w:spacing w:after="80" w:line="268"/>
      </w:pPr>
      <w:r>
        <w:rPr>
          <w:b/>
          <w:bCs/>
        </w:rPr>
        <w:t xml:space="preserve">Versand: </w:t>
      </w:r>
      <w:r>
        <w:t xml:space="preserve">Der Client wählt eine Empfängerliste, generiert pro Empfänger den personalisierten Inhalt und versendet über den Mailprovider (SMTP/SendGrid).</w:t>
      </w:r>
    </w:p>
    <w:p>
      <w:pPr>
        <w:pStyle w:val="ListParagraph"/>
        <w:numPr>
          <w:ilvl w:val="0"/>
          <w:numId w:val="3"/>
        </w:numPr>
        <w:spacing w:after="80" w:line="268"/>
      </w:pPr>
      <w:r>
        <w:rPr>
          <w:b/>
          <w:bCs/>
        </w:rPr>
        <w:t xml:space="preserve">Abmeldung: </w:t>
      </w:r>
      <w:r>
        <w:t xml:space="preserve">Jede Mail enthält einen Abmeldelink </w:t>
      </w:r>
      <w:r>
        <w:rPr>
          <w:rFonts w:ascii="Consolas" w:cs="Consolas" w:eastAsia="Consolas" w:hAnsi="Consolas"/>
          <w:color w:val="B03060"/>
          <w:sz w:val="20"/>
          <w:szCs w:val="20"/>
        </w:rPr>
        <w:t xml:space="preserve">/unsubscribe/{id}</w:t>
      </w:r>
      <w:r>
        <w:t xml:space="preserve">. Zusätzlich gleicht der Client die Liste regelmäßig gegen die ECG-Robinsonliste der RTR ab.</w:t>
      </w:r>
    </w:p>
    <w:p>
      <w:pPr>
        <w:pStyle w:val="Heading2"/>
      </w:pPr>
      <w:r>
        <w:t xml:space="preserve">1.2  Gemeinsame Infrastruktur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rPr>
          <w:tblHeader/>
        </w:trP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Baustein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Beschreibung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Datenbank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MongoDB (Datenbank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newsletter</w:t>
            </w:r>
            <w:r>
              <w:rPr>
                <w:sz w:val="19"/>
                <w:szCs w:val="19"/>
              </w:rPr>
              <w:t xml:space="preserve">). Enthält u. a. die Collections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Recipients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RecipientCollections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Newsletters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MailTemplates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ImportDefinitions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Forms</w:t>
            </w:r>
            <w:r>
              <w:rPr>
                <w:sz w:val="19"/>
                <w:szCs w:val="19"/>
              </w:rPr>
              <w:t xml:space="preserve"> und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FormSubmissions</w:t>
            </w:r>
            <w:r>
              <w:rPr>
                <w:sz w:val="19"/>
                <w:szCs w:val="19"/>
              </w:rPr>
              <w:t xml:space="preserve">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Mailversand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Gemeinsamer Abschnitt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MailConfig</w:t>
            </w:r>
            <w:r>
              <w:rPr>
                <w:sz w:val="19"/>
                <w:szCs w:val="19"/>
              </w:rPr>
              <w:t xml:space="preserve"> mit den Providern SMTP (Standard, via SendGrid-Relay), Microsoft Graph und Outlook. Wird über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DieCloud.SystemFunctions</w:t>
            </w:r>
            <w:r>
              <w:rPr>
                <w:sz w:val="19"/>
                <w:szCs w:val="19"/>
              </w:rPr>
              <w:t xml:space="preserve"> /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AddMailClient</w:t>
            </w:r>
            <w:r>
              <w:rPr>
                <w:sz w:val="19"/>
                <w:szCs w:val="19"/>
              </w:rPr>
              <w:t xml:space="preserve"> eingebunden.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Basis-Bibliotheken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DieCloud.MongoDbFramework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DieCloud.SystemFunctions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DieCloud.MailClient.Logic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DieCloud.Newsletter.Data</w:t>
            </w:r>
            <w:r>
              <w:rPr>
                <w:sz w:val="19"/>
                <w:szCs w:val="19"/>
              </w:rPr>
              <w:t xml:space="preserve">. Diese müssen als Projekt- oder NuGet-Referenz verfügbar sein.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Content-Webspace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Separater Webspace (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content.cls.at</w:t>
            </w:r>
            <w:r>
              <w:rPr>
                <w:sz w:val="19"/>
                <w:szCs w:val="19"/>
              </w:rPr>
              <w:t xml:space="preserve">) für Newsletter-Bilder, vom Client per Netzlaufwerk beschrieben.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EFD6" w:sz="2"/>
              <w:left w:val="single" w:color="E0A93C" w:sz="18"/>
              <w:bottom w:val="single" w:color="FCEFD6" w:sz="2"/>
              <w:right w:val="single" w:color="FCEFD6" w:sz="2"/>
            </w:tcBorders>
            <w:shd w:fill="FCEFD6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8A5800"/>
              </w:rPr>
              <w:t xml:space="preserve">Wichtig: Versionsabhängigkeiten</w:t>
            </w:r>
          </w:p>
          <w:p>
            <w:pPr>
              <w:spacing w:after="40" w:line="264"/>
            </w:pPr>
            <w:r>
              <w:rPr>
                <w:b/>
                <w:bCs/>
              </w:rPr>
              <w:t xml:space="preserve">MongoDB.Driver 3.5.0</w:t>
            </w:r>
            <w:r>
              <w:t xml:space="preserve"> und </w:t>
            </w:r>
            <w:r>
              <w:rPr>
                <w:b/>
                <w:bCs/>
              </w:rPr>
              <w:t xml:space="preserve">Swashbuckle.AspNetCore 6.9.0</w:t>
            </w:r>
            <w:r>
              <w:t xml:space="preserve"> sind im Server-Projekt fixiert. Abweichende Versionen (insb. Swashbuckle 7+/10+ oder OpenApi 2.x) führen zu bekannten Breaking-Change-Fehlern beim Start.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  Voraussetzungen</w:t>
      </w:r>
    </w:p>
    <w:p>
      <w:pPr>
        <w:pStyle w:val="Heading2"/>
      </w:pPr>
      <w:r>
        <w:t xml:space="preserve">2.1  Server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rPr>
          <w:tblHeader/>
        </w:trP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Komponente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Anforderung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Betriebssystem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Windows Server 2019/2022/2025 mit IIS, oder Linux mit Kestrel/Reverse-Proxy.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.NET Runtime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ASP.NET Core Runtime 9.0 (bzw. das .NET-9-Hosting-Bundle für IIS).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SDK (für Build)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.NET SDK 9.0; optional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dotnet-ef</w:t>
            </w:r>
            <w:r>
              <w:rPr>
                <w:sz w:val="19"/>
                <w:szCs w:val="19"/>
              </w:rPr>
              <w:t xml:space="preserve"> 10.0.4 (im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dotnet-tools.json</w:t>
            </w:r>
            <w:r>
              <w:rPr>
                <w:sz w:val="19"/>
                <w:szCs w:val="19"/>
              </w:rPr>
              <w:t xml:space="preserve"> hinterlegt).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Datenbank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Erreichbare MongoDB-Instanz (im Beispiel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clsitcont01:27017</w:t>
            </w:r>
            <w:r>
              <w:rPr>
                <w:sz w:val="19"/>
                <w:szCs w:val="19"/>
              </w:rPr>
              <w:t xml:space="preserve">).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HTTPS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Gültiges TLS-Zertifikat für die öffentliche Domain (z. B.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newsletteradmin.cls.at</w:t>
            </w:r>
            <w:r>
              <w:rPr>
                <w:sz w:val="19"/>
                <w:szCs w:val="19"/>
              </w:rPr>
              <w:t xml:space="preserve">).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Externe Dienste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Google reCAPTCHA v2 (Site- und Secret-Key), SendGrid-Konto bzw. SMTP-Zugang.</w:t>
            </w:r>
          </w:p>
        </w:tc>
      </w:tr>
    </w:tbl>
    <w:p>
      <w:pPr>
        <w:pStyle w:val="Heading2"/>
      </w:pPr>
      <w:r>
        <w:t xml:space="preserve">2.2  Client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rPr>
          <w:tblHeader/>
        </w:trP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Komponente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Anforderung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Betriebssystem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Windows 10/11 (x64).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.NET Runtime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.NET Desktop Runtime passend zum Build (.NET 8 oder 9, Windows-Desktop).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WebView2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Microsoft Edge WebView2 Runtime (Evergreen) – für den HTML-Editor und die Vorschau zwingend erforderlich.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HTML-Editor-Lizenz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Lizenzdatei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HTMLEditor.license</w:t>
            </w:r>
            <w:r>
              <w:rPr>
                <w:sz w:val="19"/>
                <w:szCs w:val="19"/>
              </w:rPr>
              <w:t xml:space="preserve"> muss im Anwendungsverzeichnis liegen.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Netzwerk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Zugriff auf MongoDB, auf den Content-Share (für Bild-Upload) und auf das Internet (SendGrid, reCAPTCHA-frei, ECG-API, Microsoft Graph).</w:t>
            </w:r>
          </w:p>
        </w:tc>
      </w:tr>
      <w:tr>
        <w:tc>
          <w:tcPr>
            <w:tcW w:type="dxa" w:w="2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Berechtigungen</w:t>
            </w:r>
          </w:p>
        </w:tc>
        <w:tc>
          <w:tcPr>
            <w:tcW w:type="dxa" w:w="6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Rechte zum Verbinden des Netzlaufwerks und – bei ClickOnce – zur Installation im Benutzerprofil.</w:t>
            </w:r>
          </w:p>
        </w:tc>
      </w:tr>
    </w:tbl>
    <w:p>
      <w:pPr>
        <w:pStyle w:val="Heading2"/>
      </w:pPr>
      <w:r>
        <w:t xml:space="preserve">2.3  Externe Dienste im Überblick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4626"/>
        <w:gridCol w:w="2500"/>
      </w:tblGrid>
      <w:tr>
        <w:trPr>
          <w:tblHeader/>
        </w:trPr>
        <w:tc>
          <w:tcPr>
            <w:tcW w:type="dxa" w:w="1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Dienst</w:t>
            </w:r>
          </w:p>
        </w:tc>
        <w:tc>
          <w:tcPr>
            <w:tcW w:type="dxa" w:w="46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Verwendung</w:t>
            </w:r>
          </w:p>
        </w:tc>
        <w:tc>
          <w:tcPr>
            <w:tcW w:type="dxa" w:w="25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Wo konfiguriert</w:t>
            </w:r>
          </w:p>
        </w:tc>
      </w:tr>
      <w:tr>
        <w:tc>
          <w:tcPr>
            <w:tcW w:type="dxa" w:w="1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SendGrid / SMTP</w:t>
            </w:r>
          </w:p>
        </w:tc>
        <w:tc>
          <w:tcPr>
            <w:tcW w:type="dxa" w:w="46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Versand aller E-Mails (Bestätigung, Newsletter, Formular-Benachrichtigungen).</w:t>
            </w:r>
          </w:p>
        </w:tc>
        <w:tc>
          <w:tcPr>
            <w:tcW w:type="dxa" w:w="25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MailConfig:Smtp</w:t>
            </w:r>
            <w:r>
              <w:rPr>
                <w:sz w:val="19"/>
                <w:szCs w:val="19"/>
              </w:rPr>
              <w:t xml:space="preserve"> (Server + Client)</w:t>
            </w:r>
          </w:p>
        </w:tc>
      </w:tr>
      <w:tr>
        <w:tc>
          <w:tcPr>
            <w:tcW w:type="dxa" w:w="1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Google reCAPTCHA v2</w:t>
            </w:r>
          </w:p>
        </w:tc>
        <w:tc>
          <w:tcPr>
            <w:tcW w:type="dxa" w:w="46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Spam-Schutz der öffentlichen Anmelde- und Abmeldeformulare.</w:t>
            </w:r>
          </w:p>
        </w:tc>
        <w:tc>
          <w:tcPr>
            <w:tcW w:type="dxa" w:w="25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ReCaptcha</w:t>
            </w:r>
            <w:r>
              <w:rPr>
                <w:sz w:val="19"/>
                <w:szCs w:val="19"/>
              </w:rPr>
              <w:t xml:space="preserve"> (Server)</w:t>
            </w:r>
          </w:p>
        </w:tc>
      </w:tr>
      <w:tr>
        <w:tc>
          <w:tcPr>
            <w:tcW w:type="dxa" w:w="1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ECG-Robinsonliste (RTR)</w:t>
            </w:r>
          </w:p>
        </w:tc>
        <w:tc>
          <w:tcPr>
            <w:tcW w:type="dxa" w:w="46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Abgleich der Empfänger gegen die österreichische Robinsonliste.</w:t>
            </w:r>
          </w:p>
        </w:tc>
        <w:tc>
          <w:tcPr>
            <w:tcW w:type="dxa" w:w="25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EcgCheck.cs</w:t>
            </w:r>
            <w:r>
              <w:rPr>
                <w:sz w:val="19"/>
                <w:szCs w:val="19"/>
              </w:rPr>
              <w:t xml:space="preserve"> (Client)</w:t>
            </w:r>
          </w:p>
        </w:tc>
      </w:tr>
      <w:tr>
        <w:tc>
          <w:tcPr>
            <w:tcW w:type="dxa" w:w="1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Microsoft Graph</w:t>
            </w:r>
          </w:p>
        </w:tc>
        <w:tc>
          <w:tcPr>
            <w:tcW w:type="dxa" w:w="46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Import von Outlook-/Postfach-Kontakten als Empfänger.</w:t>
            </w:r>
          </w:p>
        </w:tc>
        <w:tc>
          <w:tcPr>
            <w:tcW w:type="dxa" w:w="25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OutlookSync</w:t>
            </w:r>
            <w:r>
              <w:rPr>
                <w:sz w:val="19"/>
                <w:szCs w:val="19"/>
              </w:rPr>
              <w:t xml:space="preserve"> (Client)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  Serverinstallation (DieCloud.MailClient.Server)</w:t>
      </w:r>
    </w:p>
    <w:p>
      <w:pPr>
        <w:pStyle w:val="Heading2"/>
      </w:pPr>
      <w:r>
        <w:t xml:space="preserve">3.1  Projekt bauen und veröffentlichen</w:t>
      </w:r>
    </w:p>
    <w:p>
      <w:pPr>
        <w:spacing w:after="140" w:line="276"/>
      </w:pPr>
      <w:r>
        <w:t xml:space="preserve">Stellen Sie sicher, dass die referenzierten Projekte bzw. NuGet-Pakete erreichbar sind (privater NuGet-Server `nuget.cls.at` für `DieCloud.*`). Anschließend veröffentlichen Sie eine Release-Version: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9DCE1" w:sz="2"/>
              <w:left w:val="single" w:color="D9DCE1" w:sz="2"/>
              <w:bottom w:val="single" w:color="D9DCE1" w:sz="2"/>
              <w:right w:val="single" w:color="D9DCE1" w:sz="2"/>
            </w:tcBorders>
            <w:shd w:fill="F3F4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# Im Verzeichnis der Solution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dotnet restore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dotnet build -c Release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# Self-contained / framework-dependent Publish für IIS (Windows x64)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dotnet publish DieCloud.MailClient.Server.csproj \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-c Release \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-r win-x64 --no-self-contained \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-o C:\inetpub\NewsletterAdmin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EF3FA" w:sz="2"/>
              <w:left w:val="single" w:color="1D65B6" w:sz="18"/>
              <w:bottom w:val="single" w:color="EEF3FA" w:sz="2"/>
              <w:right w:val="single" w:color="EEF3FA" w:sz="2"/>
            </w:tcBorders>
            <w:shd w:fill="EEF3F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4457E"/>
              </w:rPr>
              <w:t xml:space="preserve">RID-Hinweis</w:t>
            </w:r>
          </w:p>
          <w:p>
            <w:pPr>
              <w:spacing w:after="40" w:line="264"/>
            </w:pPr>
            <w:r>
              <w:t xml:space="preserve">Achten Sie bei Publish-Fehlern auf das korrekte Runtime-Identifier-/TargetFramework-Paar. Ein häufiger Stolperstein ist die Diskrepanz zwischen </w:t>
            </w:r>
          </w:p>
          <w:p>
            <w:pPr>
              <w:spacing w:after="40" w:line="264"/>
            </w:pPr>
            <w:r>
              <w:rPr>
                <w:rFonts w:ascii="Consolas" w:cs="Consolas" w:eastAsia="Consolas" w:hAnsi="Consolas"/>
                <w:color w:val="B03060"/>
                <w:sz w:val="20"/>
                <w:szCs w:val="20"/>
              </w:rPr>
              <w:t xml:space="preserve">net9.0-windows</w:t>
            </w:r>
          </w:p>
          <w:p>
            <w:pPr>
              <w:spacing w:after="40" w:line="264"/>
            </w:pPr>
            <w:r>
              <w:t xml:space="preserve"> und </w:t>
            </w:r>
          </w:p>
          <w:p>
            <w:pPr>
              <w:spacing w:after="40" w:line="264"/>
            </w:pPr>
            <w:r>
              <w:rPr>
                <w:rFonts w:ascii="Consolas" w:cs="Consolas" w:eastAsia="Consolas" w:hAnsi="Consolas"/>
                <w:color w:val="B03060"/>
                <w:sz w:val="20"/>
                <w:szCs w:val="20"/>
              </w:rPr>
              <w:t xml:space="preserve">net9.0-windows7.0</w:t>
            </w:r>
          </w:p>
          <w:p>
            <w:pPr>
              <w:spacing w:after="40" w:line="264"/>
            </w:pPr>
            <w:r>
              <w:t xml:space="preserve">. Für ASP.NET Core genügt in der Regel das plattformneutrale </w:t>
            </w:r>
          </w:p>
          <w:p>
            <w:pPr>
              <w:spacing w:after="40" w:line="264"/>
            </w:pPr>
            <w:r>
              <w:rPr>
                <w:rFonts w:ascii="Consolas" w:cs="Consolas" w:eastAsia="Consolas" w:hAnsi="Consolas"/>
                <w:color w:val="B03060"/>
                <w:sz w:val="20"/>
                <w:szCs w:val="20"/>
              </w:rPr>
              <w:t xml:space="preserve">net9.0</w:t>
            </w:r>
          </w:p>
          <w:p>
            <w:pPr>
              <w:spacing w:after="40" w:line="264"/>
            </w:pPr>
            <w:r>
              <w:t xml:space="preserve">.</w:t>
            </w:r>
          </w:p>
        </w:tc>
      </w:tr>
    </w:tbl>
    <w:p>
      <w:pPr>
        <w:pStyle w:val="Heading2"/>
      </w:pPr>
      <w:r>
        <w:t xml:space="preserve">3.2  Konfiguration – appsettings.json</w:t>
      </w:r>
    </w:p>
    <w:p>
      <w:pPr>
        <w:spacing w:after="140" w:line="276"/>
      </w:pPr>
      <w:r>
        <w:t xml:space="preserve">Die zentrale Konfiguration liegt in `appsettings.json`. Die folgende Vorlage zeigt die Struktur. Echte Zugangsdaten sind hier durch Platzhalter ersetzt – siehe Kapitel 8 zur sicheren Ablage von Geheimnissen.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9DCE1" w:sz="2"/>
              <w:left w:val="single" w:color="D9DCE1" w:sz="2"/>
              <w:bottom w:val="single" w:color="D9DCE1" w:sz="2"/>
              <w:right w:val="single" w:color="D9DCE1" w:sz="2"/>
            </w:tcBorders>
            <w:shd w:fill="F3F4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"Logging": 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"LogLevel": { "Default": "Information", "Microsoft.AspNetCore": "Warning" }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},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"AllowedHosts": "*",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"App": 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"BaseUrl":     "https://newsletteradmin.cls.at",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"FromMail":    "newsletter@cls.at",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"FromName":    "DieCloud.at",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"CompanyName": "DieCloud.at"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},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"MongoDbConfiguration": 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"Connections": [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  { "Name": "Newsletter", "Server": "mongodb://&lt;host&gt;:27017", "Database": "newsletter" },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  { "Name": "Mail",       "Server": "mongodb://&lt;host&gt;:27017", "Database": "newsletter" }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},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"ReCaptcha": 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"SiteKey":   "&lt;reCAPTCHA-Site-Key&gt;",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"SecretKey": "&lt;reCAPTCHA-Secret-Key&gt;"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},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"MailConfig": 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"DefaultProvider": "SMTP",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"Smtp": 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  "Host": "smtp.sendgrid.net", "Port": 587, "EnableSsl": true,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  "Authentication": "Basic",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  "Username": "apikey", "Password": "&lt;SendGrid-API-Key&gt;"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},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"Graph": 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  "TenantId": "&lt;tenant-id&gt;", "ClientId": "&lt;client-id&gt;",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  "ClientSecret": null,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  "CertificatePath": "Certs/diecloud-mail.pfx", "CertificatePassword": null,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  "Scopes": [ "https://graph.microsoft.com/.default" 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},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"Outlook": { "DefaultSendMode": "SendImmediately", "TimeoutSeconds": 30 }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}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}</w:t>
            </w:r>
          </w:p>
        </w:tc>
      </w:tr>
    </w:tbl>
    <w:p>
      <w:pPr>
        <w:pStyle w:val="Heading3"/>
      </w:pPr>
      <w:r>
        <w:t xml:space="preserve">Schlüsselreferenz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126"/>
      </w:tblGrid>
      <w:tr>
        <w:trPr>
          <w:tblHeader/>
        </w:trPr>
        <w:tc>
          <w:tcPr>
            <w:tcW w:type="dxa" w:w="2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Schlüssel</w:t>
            </w:r>
          </w:p>
        </w:tc>
        <w:tc>
          <w:tcPr>
            <w:tcW w:type="dxa" w:w="61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Bedeutung</w:t>
            </w:r>
          </w:p>
        </w:tc>
      </w:tr>
      <w:tr>
        <w:tc>
          <w:tcPr>
            <w:tcW w:type="dxa" w:w="2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App:BaseUrl</w:t>
            </w:r>
          </w:p>
        </w:tc>
        <w:tc>
          <w:tcPr>
            <w:tcW w:type="dxa" w:w="61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Öffentliche Basis-URL. Wird zum Erzeugen der Bestätigungs- und Abmeldelinks in den Mails verwendet – muss exakt der erreichbaren Adresse entsprechen.</w:t>
            </w:r>
          </w:p>
        </w:tc>
      </w:tr>
      <w:tr>
        <w:tc>
          <w:tcPr>
            <w:tcW w:type="dxa" w:w="2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App:FromMail</w:t>
            </w:r>
            <w:r>
              <w:rPr>
                <w:sz w:val="19"/>
                <w:szCs w:val="19"/>
              </w:rPr>
              <w:t xml:space="preserve"> /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FromName</w:t>
            </w:r>
          </w:p>
        </w:tc>
        <w:tc>
          <w:tcPr>
            <w:tcW w:type="dxa" w:w="61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Absenderadresse und -name der vom Server versendeten System-Mails (Double-Opt-In).</w:t>
            </w:r>
          </w:p>
        </w:tc>
      </w:tr>
      <w:tr>
        <w:tc>
          <w:tcPr>
            <w:tcW w:type="dxa" w:w="2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App:CompanyName</w:t>
            </w:r>
          </w:p>
        </w:tc>
        <w:tc>
          <w:tcPr>
            <w:tcW w:type="dxa" w:w="61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Firmenname für die Fußzeile der HTML-Seiten.</w:t>
            </w:r>
          </w:p>
        </w:tc>
      </w:tr>
      <w:tr>
        <w:tc>
          <w:tcPr>
            <w:tcW w:type="dxa" w:w="2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MongoDbConfiguration:Connections</w:t>
            </w:r>
          </w:p>
        </w:tc>
        <w:tc>
          <w:tcPr>
            <w:tcW w:type="dxa" w:w="61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Benannte Verbindungen. Es werden zwei Kontexte gebunden: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NewsletterDbContext</w:t>
            </w:r>
            <w:r>
              <w:rPr>
                <w:sz w:val="19"/>
                <w:szCs w:val="19"/>
              </w:rPr>
              <w:t xml:space="preserve"> (Name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Newsletter</w:t>
            </w:r>
            <w:r>
              <w:rPr>
                <w:sz w:val="19"/>
                <w:szCs w:val="19"/>
              </w:rPr>
              <w:t xml:space="preserve">) und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MailDbContext</w:t>
            </w:r>
            <w:r>
              <w:rPr>
                <w:sz w:val="19"/>
                <w:szCs w:val="19"/>
              </w:rPr>
              <w:t xml:space="preserve"> (Name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Mail</w:t>
            </w:r>
            <w:r>
              <w:rPr>
                <w:sz w:val="19"/>
                <w:szCs w:val="19"/>
              </w:rPr>
              <w:t xml:space="preserve">). Im Beispiel zeigen beide auf dieselbe Datenbank.</w:t>
            </w:r>
          </w:p>
        </w:tc>
      </w:tr>
      <w:tr>
        <w:tc>
          <w:tcPr>
            <w:tcW w:type="dxa" w:w="2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ReCaptcha:SiteKey</w:t>
            </w:r>
          </w:p>
        </w:tc>
        <w:tc>
          <w:tcPr>
            <w:tcW w:type="dxa" w:w="61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Öffentlicher Schlüssel; wird in die HTML-Formulare eingebettet.</w:t>
            </w:r>
          </w:p>
        </w:tc>
      </w:tr>
      <w:tr>
        <w:tc>
          <w:tcPr>
            <w:tcW w:type="dxa" w:w="2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ReCaptcha:SecretKey</w:t>
            </w:r>
          </w:p>
        </w:tc>
        <w:tc>
          <w:tcPr>
            <w:tcW w:type="dxa" w:w="61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Geheimer Schlüssel; wird nur serverseitig zur Verifikation gegen Google verwendet. Fehlt der Abschnitt, startet die Anwendung nicht.</w:t>
            </w:r>
          </w:p>
        </w:tc>
      </w:tr>
      <w:tr>
        <w:tc>
          <w:tcPr>
            <w:tcW w:type="dxa" w:w="2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MailConfig:DefaultProvider</w:t>
            </w:r>
          </w:p>
        </w:tc>
        <w:tc>
          <w:tcPr>
            <w:tcW w:type="dxa" w:w="61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Aktiver Versandweg: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SMTP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Graph</w:t>
            </w:r>
            <w:r>
              <w:rPr>
                <w:sz w:val="19"/>
                <w:szCs w:val="19"/>
              </w:rPr>
              <w:t xml:space="preserve"> oder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Outlook</w:t>
            </w:r>
            <w:r>
              <w:rPr>
                <w:sz w:val="19"/>
                <w:szCs w:val="19"/>
              </w:rPr>
              <w:t xml:space="preserve">.</w:t>
            </w:r>
          </w:p>
        </w:tc>
      </w:tr>
      <w:tr>
        <w:tc>
          <w:tcPr>
            <w:tcW w:type="dxa" w:w="2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MailConfig:Smtp</w:t>
            </w:r>
          </w:p>
        </w:tc>
        <w:tc>
          <w:tcPr>
            <w:tcW w:type="dxa" w:w="61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SMTP-Relay. Bei SendGrid ist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Username</w:t>
            </w:r>
            <w:r>
              <w:rPr>
                <w:sz w:val="19"/>
                <w:szCs w:val="19"/>
              </w:rPr>
              <w:t xml:space="preserve"> stets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apikey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Password</w:t>
            </w:r>
            <w:r>
              <w:rPr>
                <w:sz w:val="19"/>
                <w:szCs w:val="19"/>
              </w:rPr>
              <w:t xml:space="preserve"> der API-Schlüssel.</w:t>
            </w:r>
          </w:p>
        </w:tc>
      </w:tr>
      <w:tr>
        <w:tc>
          <w:tcPr>
            <w:tcW w:type="dxa" w:w="29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MailConfig:Graph</w:t>
            </w:r>
          </w:p>
        </w:tc>
        <w:tc>
          <w:tcPr>
            <w:tcW w:type="dxa" w:w="61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App-Registrierung für Graph-basierten Versand (alternativ zu SMTP).</w:t>
            </w:r>
          </w:p>
        </w:tc>
      </w:tr>
    </w:tbl>
    <w:p>
      <w:pPr>
        <w:pStyle w:val="Heading2"/>
      </w:pPr>
      <w:r>
        <w:t xml:space="preserve">3.3  Datenbank vorbereiten</w:t>
      </w:r>
    </w:p>
    <w:p>
      <w:pPr>
        <w:pStyle w:val="ListParagraph"/>
        <w:numPr>
          <w:ilvl w:val="0"/>
          <w:numId w:val="3"/>
        </w:numPr>
        <w:spacing w:after="80" w:line="268"/>
      </w:pPr>
      <w:r>
        <w:rPr>
          <w:b/>
          <w:bCs/>
        </w:rPr>
        <w:t xml:space="preserve">MongoDB sicherstellen: </w:t>
      </w:r>
      <w:r>
        <w:t xml:space="preserve">Die in `MongoDbConfiguration` angegebene Instanz muss erreichbar sein. Die Datenbank `newsletter` wird bei Bedarf automatisch angelegt; die Collections entstehen beim ersten Schreibzugriff.</w:t>
      </w:r>
    </w:p>
    <w:p>
      <w:pPr>
        <w:pStyle w:val="ListParagraph"/>
        <w:numPr>
          <w:ilvl w:val="0"/>
          <w:numId w:val="3"/>
        </w:numPr>
        <w:spacing w:after="80" w:line="268"/>
      </w:pPr>
      <w:r>
        <w:rPr>
          <w:b/>
          <w:bCs/>
        </w:rPr>
        <w:t xml:space="preserve">Indizes (empfohlen): </w:t>
      </w:r>
      <w:r>
        <w:t xml:space="preserve">Für Performance empfiehlt sich ein Index auf das E-Mail-Feld der `Recipients` sowie auf `Name`/`Active` der `Forms`.</w:t>
      </w:r>
    </w:p>
    <w:p>
      <w:pPr>
        <w:pStyle w:val="ListParagraph"/>
        <w:numPr>
          <w:ilvl w:val="0"/>
          <w:numId w:val="3"/>
        </w:numPr>
        <w:spacing w:after="80" w:line="268"/>
      </w:pPr>
      <w:r>
        <w:rPr>
          <w:b/>
          <w:bCs/>
        </w:rPr>
        <w:t xml:space="preserve">Migrationen: </w:t>
      </w:r>
      <w:r>
        <w:t xml:space="preserve">Sofern EF-Migrationen genutzt werden, steht das Tool `dotnet-ef` (Version 10.0.4) über `dotnet tool restore` bereit.</w:t>
      </w:r>
    </w:p>
    <w:p>
      <w:pPr>
        <w:pStyle w:val="Heading2"/>
      </w:pPr>
      <w:r>
        <w:t xml:space="preserve">3.4  Deployment unter IIS</w:t>
      </w:r>
    </w:p>
    <w:p>
      <w:pPr>
        <w:pStyle w:val="ListParagraph"/>
        <w:numPr>
          <w:ilvl w:val="0"/>
          <w:numId w:val="4"/>
        </w:numPr>
        <w:spacing w:after="80" w:line="268"/>
      </w:pPr>
      <w:r>
        <w:rPr>
          <w:b/>
          <w:bCs/>
        </w:rPr>
        <w:t xml:space="preserve">Hosting-Bundle: </w:t>
      </w:r>
      <w:r>
        <w:t xml:space="preserve">Installieren Sie das ASP.NET Core 9 Hosting Bundle auf dem Server (registriert das Modul </w:t>
      </w:r>
      <w:r>
        <w:rPr>
          <w:rFonts w:ascii="Consolas" w:cs="Consolas" w:eastAsia="Consolas" w:hAnsi="Consolas"/>
          <w:color w:val="B03060"/>
          <w:sz w:val="20"/>
          <w:szCs w:val="20"/>
        </w:rPr>
        <w:t xml:space="preserve">AspNetCoreModuleV2</w:t>
      </w:r>
      <w:r>
        <w:t xml:space="preserve">).</w:t>
      </w:r>
    </w:p>
    <w:p>
      <w:pPr>
        <w:pStyle w:val="ListParagraph"/>
        <w:numPr>
          <w:ilvl w:val="0"/>
          <w:numId w:val="4"/>
        </w:numPr>
        <w:spacing w:after="80" w:line="268"/>
      </w:pPr>
      <w:r>
        <w:rPr>
          <w:b/>
          <w:bCs/>
        </w:rPr>
        <w:t xml:space="preserve">Anwendungspool: </w:t>
      </w:r>
      <w:r>
        <w:t xml:space="preserve">Neuen Pool ohne verwalteten Code („No Managed Code“) anlegen.</w:t>
      </w:r>
    </w:p>
    <w:p>
      <w:pPr>
        <w:pStyle w:val="ListParagraph"/>
        <w:numPr>
          <w:ilvl w:val="0"/>
          <w:numId w:val="4"/>
        </w:numPr>
        <w:spacing w:after="80" w:line="268"/>
      </w:pPr>
      <w:r>
        <w:rPr>
          <w:b/>
          <w:bCs/>
        </w:rPr>
        <w:t xml:space="preserve">Website/Anwendung: </w:t>
      </w:r>
      <w:r>
        <w:t xml:space="preserve">Auf das Publish-Verzeichnis zeigen lassen; Bindings für HTTPS (Port 443) mit dem TLS-Zertifikat einrichten.</w:t>
      </w:r>
    </w:p>
    <w:p>
      <w:pPr>
        <w:pStyle w:val="ListParagraph"/>
        <w:numPr>
          <w:ilvl w:val="0"/>
          <w:numId w:val="4"/>
        </w:numPr>
        <w:spacing w:after="80" w:line="268"/>
      </w:pPr>
      <w:r>
        <w:rPr>
          <w:b/>
          <w:bCs/>
        </w:rPr>
        <w:t xml:space="preserve">Rechte: </w:t>
      </w:r>
      <w:r>
        <w:t xml:space="preserve">Dem Pool-Identity-Konto Lesezugriff auf das Verzeichnis und ggf. auf das Zertifikat (`Certs/diecloud-mail.pfx`) geben.</w:t>
      </w:r>
    </w:p>
    <w:p>
      <w:pPr>
        <w:pStyle w:val="ListParagraph"/>
        <w:numPr>
          <w:ilvl w:val="0"/>
          <w:numId w:val="4"/>
        </w:numPr>
        <w:spacing w:after="80" w:line="268"/>
      </w:pPr>
      <w:r>
        <w:rPr>
          <w:b/>
          <w:bCs/>
        </w:rPr>
        <w:t xml:space="preserve">Statische Dateien: </w:t>
      </w:r>
      <w:r>
        <w:t xml:space="preserve">Der Ordner `wwwroot` mit `layout.html` und `css/site.css` muss mit veröffentlicht werden – die HTML-Seiten werden daraus zusammengesetzt.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EF3FA" w:sz="2"/>
              <w:left w:val="single" w:color="1D65B6" w:sz="18"/>
              <w:bottom w:val="single" w:color="EEF3FA" w:sz="2"/>
              <w:right w:val="single" w:color="EEF3FA" w:sz="2"/>
            </w:tcBorders>
            <w:shd w:fill="EEF3F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4457E"/>
              </w:rPr>
              <w:t xml:space="preserve">Verhalten der Anwendung beim Start</w:t>
            </w:r>
          </w:p>
          <w:p>
            <w:pPr>
              <w:spacing w:after="40" w:line="264"/>
            </w:pPr>
            <w:r>
              <w:rPr>
                <w:b/>
                <w:bCs/>
              </w:rPr>
              <w:t xml:space="preserve">HTTPS-Umleitung</w:t>
            </w:r>
            <w:r>
              <w:t xml:space="preserve"> ist aktiv (</w:t>
            </w:r>
            <w:r>
              <w:rPr>
                <w:rFonts w:ascii="Consolas" w:cs="Consolas" w:eastAsia="Consolas" w:hAnsi="Consolas"/>
                <w:color w:val="B03060"/>
                <w:sz w:val="20"/>
                <w:szCs w:val="20"/>
              </w:rPr>
              <w:t xml:space="preserve">UseHttpsRedirection</w:t>
            </w:r>
            <w:r>
              <w:t xml:space="preserve">).</w:t>
            </w:r>
          </w:p>
          <w:p>
            <w:pPr>
              <w:spacing w:after="40" w:line="264"/>
            </w:pPr>
            <w:r>
              <w:rPr>
                <w:b/>
                <w:bCs/>
              </w:rPr>
              <w:t xml:space="preserve">Swagger-UI</w:t>
            </w:r>
            <w:r>
              <w:t xml:space="preserve"> ist immer unter </w:t>
            </w:r>
            <w:r>
              <w:rPr>
                <w:rFonts w:ascii="Consolas" w:cs="Consolas" w:eastAsia="Consolas" w:hAnsi="Consolas"/>
                <w:color w:val="B03060"/>
                <w:sz w:val="20"/>
                <w:szCs w:val="20"/>
              </w:rPr>
              <w:t xml:space="preserve">/swagger</w:t>
            </w:r>
            <w:r>
              <w:t xml:space="preserve"> erreichbar; die JSON-Spezifikation wird jedoch nur erzeugt, wenn ein Debugger angehängt ist.</w:t>
            </w:r>
          </w:p>
          <w:p>
            <w:pPr>
              <w:spacing w:after="40" w:line="264"/>
            </w:pPr>
            <w:r>
              <w:rPr>
                <w:b/>
                <w:bCs/>
              </w:rPr>
              <w:t xml:space="preserve">Suchmaschinen</w:t>
            </w:r>
            <w:r>
              <w:t xml:space="preserve"> werden per Header </w:t>
            </w:r>
            <w:r>
              <w:rPr>
                <w:rFonts w:ascii="Consolas" w:cs="Consolas" w:eastAsia="Consolas" w:hAnsi="Consolas"/>
                <w:color w:val="B03060"/>
                <w:sz w:val="20"/>
                <w:szCs w:val="20"/>
              </w:rPr>
              <w:t xml:space="preserve">X-Robots-Tag: noindex, nofollow</w:t>
            </w:r>
            <w:r>
              <w:t xml:space="preserve"> ausgeschlossen.</w:t>
            </w:r>
          </w:p>
          <w:p>
            <w:pPr>
              <w:spacing w:after="40" w:line="264"/>
            </w:pPr>
            <w:r>
              <w:rPr>
                <w:b/>
                <w:bCs/>
              </w:rPr>
              <w:t xml:space="preserve">Startseite</w:t>
            </w:r>
            <w:r>
              <w:t xml:space="preserve">: </w:t>
            </w:r>
            <w:r>
              <w:rPr>
                <w:rFonts w:ascii="Consolas" w:cs="Consolas" w:eastAsia="Consolas" w:hAnsi="Consolas"/>
                <w:color w:val="B03060"/>
                <w:sz w:val="20"/>
                <w:szCs w:val="20"/>
              </w:rPr>
              <w:t xml:space="preserve">/</w:t>
            </w:r>
            <w:r>
              <w:t xml:space="preserve"> leitet auf </w:t>
            </w:r>
            <w:r>
              <w:rPr>
                <w:rFonts w:ascii="Consolas" w:cs="Consolas" w:eastAsia="Consolas" w:hAnsi="Consolas"/>
                <w:color w:val="B03060"/>
                <w:sz w:val="20"/>
                <w:szCs w:val="20"/>
              </w:rPr>
              <w:t xml:space="preserve">/subscribe</w:t>
            </w:r>
            <w:r>
              <w:t xml:space="preserve"> um.</w:t>
            </w:r>
          </w:p>
        </w:tc>
      </w:tr>
    </w:tbl>
    <w:p>
      <w:pPr>
        <w:pStyle w:val="Heading2"/>
      </w:pPr>
      <w:r>
        <w:t xml:space="preserve">3.5  TLS-Zertifikat für den Graph-Versand</w:t>
      </w:r>
    </w:p>
    <w:p>
      <w:pPr>
        <w:spacing w:after="140" w:line="276"/>
      </w:pPr>
      <w:r>
        <w:t xml:space="preserve">Wird Microsoft Graph als Versandweg genutzt, erwartet die Konfiguration ein Client-Zertifikat unter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  <w:color w:val="B03060"/>
          <w:sz w:val="20"/>
          <w:szCs w:val="20"/>
        </w:rPr>
        <w:t xml:space="preserve">Certs/diecloud-mail.pfx</w:t>
      </w:r>
      <w:r>
        <w:t xml:space="preserve">. Legen Sie die PFX-Datei relativ zum Anwendungsverzeichnis ab und hinterlegen Sie das zugehörige Passwort sicher (siehe Kapitel 8). Bei reinem SMTP-Versand ist dies nicht erforderlich.</w:t>
      </w:r>
    </w:p>
    <w:p>
      <w:r>
        <w:br w:type="page"/>
      </w:r>
    </w:p>
    <w:p>
      <w:pPr>
        <w:pStyle w:val="Heading1"/>
      </w:pPr>
      <w:r>
        <w:t xml:space="preserve">4  Server-Endpunkte (öffentliche Seiten &amp; API)</w:t>
      </w:r>
    </w:p>
    <w:p>
      <w:pPr>
        <w:spacing w:after="140" w:line="276"/>
      </w:pPr>
      <w:r>
        <w:t xml:space="preserve">Alle Endpunkte liefern fertige HTML-Seiten (Layout aus `wwwroot/layout.html`). Sie sind sowohl für Besucher als auch zur Einbettung in die Unternehmensseite gedacht.</w:t>
      </w:r>
    </w:p>
    <w:p>
      <w:pPr>
        <w:pStyle w:val="Heading2"/>
      </w:pPr>
      <w:r>
        <w:t xml:space="preserve">4.1  Newsletter-Anmeldung und Double-Opt-In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Methode + Pfad</w:t>
            </w:r>
          </w:p>
        </w:tc>
        <w:tc>
          <w:tcPr>
            <w:tcW w:type="dxa" w:w="60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Zweck</w:t>
            </w:r>
          </w:p>
        </w:tc>
      </w:tr>
      <w:tr>
        <w:tc>
          <w:tcPr>
            <w:tcW w:type="dxa" w:w="30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GET /subscribe</w:t>
            </w:r>
          </w:p>
        </w:tc>
        <w:tc>
          <w:tcPr>
            <w:tcW w:type="dxa" w:w="60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Zeigt das Anmeldeformular (mit reCAPTCHA).</w:t>
            </w:r>
          </w:p>
        </w:tc>
      </w:tr>
      <w:tr>
        <w:tc>
          <w:tcPr>
            <w:tcW w:type="dxa" w:w="30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POST /subscribe</w:t>
            </w:r>
          </w:p>
        </w:tc>
        <w:tc>
          <w:tcPr>
            <w:tcW w:type="dxa" w:w="60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Verarbeitet die Anmeldung: prüft reCAPTCHA und Pflichtfelder (E-Mail, Anrede), legt den Empfänger an und versendet die Bestätigungsmail. Zeigt anschließend die „Bitte bestätigen“-Seite.</w:t>
            </w:r>
          </w:p>
        </w:tc>
      </w:tr>
      <w:tr>
        <w:tc>
          <w:tcPr>
            <w:tcW w:type="dxa" w:w="30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GET /newsletter/confirm/{id}</w:t>
            </w:r>
          </w:p>
        </w:tc>
        <w:tc>
          <w:tcPr>
            <w:tcW w:type="dxa" w:w="60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Double-Opt-In-Bestätigung über den Link aus der Mail. Ergebnisseiten: bestätigt / bereits bestätigt / bereits abgemeldet / Link ungültig.</w:t>
            </w:r>
          </w:p>
        </w:tc>
      </w:tr>
      <w:tr>
        <w:tc>
          <w:tcPr>
            <w:tcW w:type="dxa" w:w="30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GET /unsubscribe/{id}</w:t>
            </w:r>
          </w:p>
        </w:tc>
        <w:tc>
          <w:tcPr>
            <w:tcW w:type="dxa" w:w="60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Zeigt die Abmeldeseite für den Empfänger.</w:t>
            </w:r>
          </w:p>
        </w:tc>
      </w:tr>
      <w:tr>
        <w:tc>
          <w:tcPr>
            <w:tcW w:type="dxa" w:w="30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POST /unsubscribe/{id}</w:t>
            </w:r>
          </w:p>
        </w:tc>
        <w:tc>
          <w:tcPr>
            <w:tcW w:type="dxa" w:w="60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Führt die Abmeldung aus (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action=yes</w:t>
            </w:r>
            <w:r>
              <w:rPr>
                <w:sz w:val="19"/>
                <w:szCs w:val="19"/>
              </w:rPr>
              <w:t xml:space="preserve">, reCAPTCHA-geschützt) oder bricht sie ab (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action=no</w:t>
            </w:r>
            <w:r>
              <w:rPr>
                <w:sz w:val="19"/>
                <w:szCs w:val="19"/>
              </w:rPr>
              <w:t xml:space="preserve">).</w:t>
            </w:r>
          </w:p>
        </w:tc>
      </w:tr>
    </w:tbl>
    <w:p>
      <w:pPr>
        <w:pStyle w:val="Heading3"/>
      </w:pPr>
      <w:r>
        <w:t xml:space="preserve">Felder des Anmeldeformulars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00"/>
        <w:gridCol w:w="5326"/>
      </w:tblGrid>
      <w:tr>
        <w:trPr>
          <w:tblHeader/>
        </w:trPr>
        <w:tc>
          <w:tcPr>
            <w:tcW w:type="dxa" w:w="24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Feld</w:t>
            </w:r>
          </w:p>
        </w:tc>
        <w:tc>
          <w:tcPr>
            <w:tcW w:type="dxa" w:w="1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Pflicht</w:t>
            </w:r>
          </w:p>
        </w:tc>
        <w:tc>
          <w:tcPr>
            <w:tcW w:type="dxa" w:w="53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Hinweis</w:t>
            </w:r>
          </w:p>
        </w:tc>
      </w:tr>
      <w:tr>
        <w:tc>
          <w:tcPr>
            <w:tcW w:type="dxa" w:w="24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Email</w:t>
            </w:r>
          </w:p>
        </w:tc>
        <w:tc>
          <w:tcPr>
            <w:tcW w:type="dxa" w:w="1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Ja</w:t>
            </w:r>
          </w:p>
        </w:tc>
        <w:tc>
          <w:tcPr>
            <w:tcW w:type="dxa" w:w="53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E-Mail-Adresse des Empfängers.</w:t>
            </w:r>
          </w:p>
        </w:tc>
      </w:tr>
      <w:tr>
        <w:tc>
          <w:tcPr>
            <w:tcW w:type="dxa" w:w="24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Sex</w:t>
            </w:r>
          </w:p>
        </w:tc>
        <w:tc>
          <w:tcPr>
            <w:tcW w:type="dxa" w:w="1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Ja</w:t>
            </w:r>
          </w:p>
        </w:tc>
        <w:tc>
          <w:tcPr>
            <w:tcW w:type="dxa" w:w="53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Anrede: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Male</w:t>
            </w:r>
            <w:r>
              <w:rPr>
                <w:sz w:val="19"/>
                <w:szCs w:val="19"/>
              </w:rPr>
              <w:t xml:space="preserve"> |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Female</w:t>
            </w:r>
            <w:r>
              <w:rPr>
                <w:sz w:val="19"/>
                <w:szCs w:val="19"/>
              </w:rPr>
              <w:t xml:space="preserve"> |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Company</w:t>
            </w:r>
            <w:r>
              <w:rPr>
                <w:sz w:val="19"/>
                <w:szCs w:val="19"/>
              </w:rPr>
              <w:t xml:space="preserve"> |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Other</w:t>
            </w:r>
            <w:r>
              <w:rPr>
                <w:sz w:val="19"/>
                <w:szCs w:val="19"/>
              </w:rPr>
              <w:t xml:space="preserve">.</w:t>
            </w:r>
          </w:p>
        </w:tc>
      </w:tr>
      <w:tr>
        <w:tc>
          <w:tcPr>
            <w:tcW w:type="dxa" w:w="24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Name</w:t>
            </w:r>
            <w:r>
              <w:rPr>
                <w:sz w:val="19"/>
                <w:szCs w:val="19"/>
              </w:rPr>
              <w:t xml:space="preserve"> /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PreName</w:t>
            </w:r>
          </w:p>
        </w:tc>
        <w:tc>
          <w:tcPr>
            <w:tcW w:type="dxa" w:w="1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Nein</w:t>
            </w:r>
          </w:p>
        </w:tc>
        <w:tc>
          <w:tcPr>
            <w:tcW w:type="dxa" w:w="53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Nach-/Vorname.</w:t>
            </w:r>
          </w:p>
        </w:tc>
      </w:tr>
      <w:tr>
        <w:tc>
          <w:tcPr>
            <w:tcW w:type="dxa" w:w="24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CompanyName</w:t>
            </w:r>
          </w:p>
        </w:tc>
        <w:tc>
          <w:tcPr>
            <w:tcW w:type="dxa" w:w="1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Nein</w:t>
            </w:r>
          </w:p>
        </w:tc>
        <w:tc>
          <w:tcPr>
            <w:tcW w:type="dxa" w:w="53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Firmenname.</w:t>
            </w:r>
          </w:p>
        </w:tc>
      </w:tr>
      <w:tr>
        <w:tc>
          <w:tcPr>
            <w:tcW w:type="dxa" w:w="24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Title</w:t>
            </w:r>
          </w:p>
        </w:tc>
        <w:tc>
          <w:tcPr>
            <w:tcW w:type="dxa" w:w="1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Nein</w:t>
            </w:r>
          </w:p>
        </w:tc>
        <w:tc>
          <w:tcPr>
            <w:tcW w:type="dxa" w:w="53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Akademischer Titel (Freitext mit Vorschlägen, z. B. Dr., Mag., Ing.).</w:t>
            </w:r>
          </w:p>
        </w:tc>
      </w:tr>
      <w:tr>
        <w:tc>
          <w:tcPr>
            <w:tcW w:type="dxa" w:w="24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g-recaptcha-response</w:t>
            </w:r>
          </w:p>
        </w:tc>
        <w:tc>
          <w:tcPr>
            <w:tcW w:type="dxa" w:w="1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Ja</w:t>
            </w:r>
          </w:p>
        </w:tc>
        <w:tc>
          <w:tcPr>
            <w:tcW w:type="dxa" w:w="53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Wird vom Browser automatisch gesetzt.</w:t>
            </w:r>
          </w:p>
        </w:tc>
      </w:tr>
    </w:tbl>
    <w:p>
      <w:pPr>
        <w:pStyle w:val="Heading2"/>
      </w:pPr>
      <w:r>
        <w:t xml:space="preserve">4.2  Konfigurierbare Web-Formulare</w:t>
      </w:r>
    </w:p>
    <w:p>
      <w:pPr>
        <w:spacing w:after="140" w:line="276"/>
      </w:pPr>
      <w:r>
        <w:t xml:space="preserve">Über den Forms-Controller lassen sich beliebige, im Client gepflegte Formulare veröffentlichen.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Methode + Pfad</w:t>
            </w:r>
          </w:p>
        </w:tc>
        <w:tc>
          <w:tcPr>
            <w:tcW w:type="dxa" w:w="60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Zweck</w:t>
            </w:r>
          </w:p>
        </w:tc>
      </w:tr>
      <w:tr>
        <w:tc>
          <w:tcPr>
            <w:tcW w:type="dxa" w:w="30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GET /Forms/{name}</w:t>
            </w:r>
          </w:p>
        </w:tc>
        <w:tc>
          <w:tcPr>
            <w:tcW w:type="dxa" w:w="60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Zeigt das aktive Formular mit dem URL-Namen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{name}</w:t>
            </w:r>
            <w:r>
              <w:rPr>
                <w:sz w:val="19"/>
                <w:szCs w:val="19"/>
              </w:rPr>
              <w:t xml:space="preserve">. Unbekannte/inaktive Formulare ergeben eine „nicht gefunden“-Seite.</w:t>
            </w:r>
          </w:p>
        </w:tc>
      </w:tr>
      <w:tr>
        <w:tc>
          <w:tcPr>
            <w:tcW w:type="dxa" w:w="30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POST /Forms/{name}</w:t>
            </w:r>
          </w:p>
        </w:tc>
        <w:tc>
          <w:tcPr>
            <w:tcW w:type="dxa" w:w="60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Nimmt eine Einsendung entgegen, validiert Pflichtfelder, speichert sie als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FormSubmission</w:t>
            </w:r>
            <w:r>
              <w:rPr>
                <w:sz w:val="19"/>
                <w:szCs w:val="19"/>
              </w:rPr>
              <w:t xml:space="preserve"> in MongoDB und versendet – falls konfiguriert – eine Benachrichtigungsmail an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ResultEmail</w:t>
            </w:r>
            <w:r>
              <w:rPr>
                <w:sz w:val="19"/>
                <w:szCs w:val="19"/>
              </w:rPr>
              <w:t xml:space="preserve">.</w:t>
            </w:r>
          </w:p>
        </w:tc>
      </w:tr>
    </w:tbl>
    <w:p>
      <w:pPr>
        <w:spacing w:after="140" w:line="276"/>
      </w:pPr>
      <w:r>
        <w:t xml:space="preserve">Unterstützte Feldtypen: Text, Datum, Radiogruppe, Checkbox und Checkboxgruppe. Die Definition (Felder, Reihenfolge, Pflichtkennzeichen, Ziel-E-Mail, Betreff) wird vollständig im Client gepflegt – siehe Abschnitt 6.6.</w:t>
      </w:r>
    </w:p>
    <w:p>
      <w:r>
        <w:br w:type="page"/>
      </w:r>
    </w:p>
    <w:p>
      <w:pPr>
        <w:pStyle w:val="Heading1"/>
      </w:pPr>
      <w:r>
        <w:t xml:space="preserve">5  Clientinstallation (Newsletter Sender)</w:t>
      </w:r>
    </w:p>
    <w:p>
      <w:pPr>
        <w:pStyle w:val="Heading2"/>
      </w:pPr>
      <w:r>
        <w:t xml:space="preserve">5.1  Voraussetzungen installieren</w:t>
      </w:r>
    </w:p>
    <w:p>
      <w:pPr>
        <w:pStyle w:val="ListParagraph"/>
        <w:numPr>
          <w:ilvl w:val="0"/>
          <w:numId w:val="5"/>
        </w:numPr>
        <w:spacing w:after="80" w:line="268"/>
      </w:pPr>
      <w:r>
        <w:rPr>
          <w:b/>
          <w:bCs/>
        </w:rPr>
        <w:t xml:space="preserve">WebView2 Runtime: </w:t>
      </w:r>
      <w:r>
        <w:t xml:space="preserve">Microsoft Edge WebView2 (Evergreen) installieren. Ohne sie startet der HTML-Editor bzw. die Vorschau nicht. Die Anwendung legt ihre WebView2-Daten unter </w:t>
      </w:r>
      <w:r>
        <w:rPr>
          <w:rFonts w:ascii="Consolas" w:cs="Consolas" w:eastAsia="Consolas" w:hAnsi="Consolas"/>
          <w:color w:val="B03060"/>
          <w:sz w:val="20"/>
          <w:szCs w:val="20"/>
        </w:rPr>
        <w:t xml:space="preserve">%LocalAppData%\NewsletterSender\WebView2Data</w:t>
      </w:r>
      <w:r>
        <w:t xml:space="preserve"> ab.</w:t>
      </w:r>
    </w:p>
    <w:p>
      <w:pPr>
        <w:pStyle w:val="ListParagraph"/>
        <w:numPr>
          <w:ilvl w:val="0"/>
          <w:numId w:val="5"/>
        </w:numPr>
        <w:spacing w:after="80" w:line="268"/>
      </w:pPr>
      <w:r>
        <w:rPr>
          <w:b/>
          <w:bCs/>
        </w:rPr>
        <w:t xml:space="preserve">.NET Desktop Runtime: </w:t>
      </w:r>
      <w:r>
        <w:t xml:space="preserve">Passend zum Build (.NET 8 oder 9, Windows-Desktop).</w:t>
      </w:r>
    </w:p>
    <w:p>
      <w:pPr>
        <w:pStyle w:val="ListParagraph"/>
        <w:numPr>
          <w:ilvl w:val="0"/>
          <w:numId w:val="5"/>
        </w:numPr>
        <w:spacing w:after="80" w:line="268"/>
      </w:pPr>
      <w:r>
        <w:rPr>
          <w:b/>
          <w:bCs/>
        </w:rPr>
        <w:t xml:space="preserve">Lizenzdatei: </w:t>
      </w:r>
      <w:r>
        <w:t xml:space="preserve">`HTMLEditor.license` in das Anwendungsverzeichnis kopieren.</w:t>
      </w:r>
    </w:p>
    <w:p>
      <w:pPr>
        <w:pStyle w:val="Heading2"/>
      </w:pPr>
      <w:r>
        <w:t xml:space="preserve">5.2  Verteilung</w:t>
      </w:r>
    </w:p>
    <w:p>
      <w:pPr>
        <w:spacing w:after="140" w:line="276"/>
      </w:pPr>
      <w:r>
        <w:t xml:space="preserve">Der Client wird typischerweise als ClickOnce-Anwendung verteilt oder als Verzeichnis (xcopy-Deployment) bereitgestellt. Bei ClickOnce installiert sich die Anwendung ins Benutzerprofil und aktualisiert sich aus der Veröffentlichungsquelle. Beim Verzeichnis-Deployment genügt das Kopieren des Publish-Ordners samt `appsettings.json` und `HTMLEditor.license`.</w:t>
      </w:r>
    </w:p>
    <w:p>
      <w:pPr>
        <w:pStyle w:val="Heading2"/>
      </w:pPr>
      <w:r>
        <w:t xml:space="preserve">5.3  Konfiguration – appsettings.json</w:t>
      </w:r>
    </w:p>
    <w:p>
      <w:pPr>
        <w:spacing w:after="140" w:line="276"/>
      </w:pPr>
      <w:r>
        <w:t xml:space="preserve">Der Client teilt sich `MailConfig` und `MongoDbConfiguration` mit dem Server, ergänzt diese aber um Versand-, Content- und Outlook-Einstellungen. Geheimnisse sind hier durch Platzhalter ersetzt (siehe Kapitel 8).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9DCE1" w:sz="2"/>
              <w:left w:val="single" w:color="D9DCE1" w:sz="2"/>
              <w:bottom w:val="single" w:color="D9DCE1" w:sz="2"/>
              <w:right w:val="single" w:color="D9DCE1" w:sz="2"/>
            </w:tcBorders>
            <w:shd w:fill="F3F4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"App": 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"BaseUrl":        "https://newsletteradmin.cls.at",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"SendFrom":       "newsletter@cls.at",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"SendFromName":   "DieCloud.at Newsletter",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"SendTestTo":     "test@cls.at",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"NetworkShare":   "\\\\&lt;server-ip&gt;\\c$",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"NetworkUsername":"&lt;domain&gt;\\&lt;user&gt;",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"NetworkPassword":"&lt;passwort&gt;",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"NetworkDrive":   "W:",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"ContentPath":    "w:\\inetpub\\Content\\Newsletter",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"WebPath":        "https://content.cls.at/newsletter/"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},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"MailConfig":  { "DefaultProvider": "SMTP", "Smtp": { ... }, "Graph": { ... } },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"MongoDbConfiguration": { "Connections": [ ... ] },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"OutlookSync": {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"TenantId": "&lt;tenant-id&gt;", "ClientId": "&lt;client-id&gt;",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"ClientSecret": "&lt;client-secret&gt;",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"UserEmails": [ "user1@cls.at", "user2@cls.at" ],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"SharedMailboxes": [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  { "Email": "vertrieb@cls.at", "UserEmails": [ ... ] }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  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  }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}</w:t>
            </w:r>
          </w:p>
        </w:tc>
      </w:tr>
    </w:tbl>
    <w:p>
      <w:pPr>
        <w:pStyle w:val="Heading3"/>
      </w:pPr>
      <w:r>
        <w:t xml:space="preserve">Schlüsselreferenz (Client-spezifisch)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5926"/>
      </w:tblGrid>
      <w:tr>
        <w:trPr>
          <w:tblHeader/>
        </w:trPr>
        <w:tc>
          <w:tcPr>
            <w:tcW w:type="dxa" w:w="31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Schlüssel</w:t>
            </w:r>
          </w:p>
        </w:tc>
        <w:tc>
          <w:tcPr>
            <w:tcW w:type="dxa" w:w="59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Bedeutung</w:t>
            </w:r>
          </w:p>
        </w:tc>
      </w:tr>
      <w:tr>
        <w:tc>
          <w:tcPr>
            <w:tcW w:type="dxa" w:w="31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App:SendFrom</w:t>
            </w:r>
            <w:r>
              <w:rPr>
                <w:sz w:val="19"/>
                <w:szCs w:val="19"/>
              </w:rPr>
              <w:t xml:space="preserve"> /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SendFromName</w:t>
            </w:r>
          </w:p>
        </w:tc>
        <w:tc>
          <w:tcPr>
            <w:tcW w:type="dxa" w:w="59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Vorbelegung für Absenderadresse und -name im Versandfenster.</w:t>
            </w:r>
          </w:p>
        </w:tc>
      </w:tr>
      <w:tr>
        <w:tc>
          <w:tcPr>
            <w:tcW w:type="dxa" w:w="31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App:SendTestTo</w:t>
            </w:r>
          </w:p>
        </w:tc>
        <w:tc>
          <w:tcPr>
            <w:tcW w:type="dxa" w:w="59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Vorbelegte Zieladresse für Testmails.</w:t>
            </w:r>
          </w:p>
        </w:tc>
      </w:tr>
      <w:tr>
        <w:tc>
          <w:tcPr>
            <w:tcW w:type="dxa" w:w="31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App:NetworkShare</w:t>
            </w:r>
          </w:p>
        </w:tc>
        <w:tc>
          <w:tcPr>
            <w:tcW w:type="dxa" w:w="59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UNC-Pfad des Shares, der für den Bild-Upload verbunden wird.</w:t>
            </w:r>
          </w:p>
        </w:tc>
      </w:tr>
      <w:tr>
        <w:tc>
          <w:tcPr>
            <w:tcW w:type="dxa" w:w="31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App:NetworkUsername</w:t>
            </w:r>
            <w:r>
              <w:rPr>
                <w:sz w:val="19"/>
                <w:szCs w:val="19"/>
              </w:rPr>
              <w:t xml:space="preserve"> /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NetworkPassword</w:t>
            </w:r>
          </w:p>
        </w:tc>
        <w:tc>
          <w:tcPr>
            <w:tcW w:type="dxa" w:w="59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Anmeldedaten für den Share. Sollten ausgelagert werden (Kapitel 8).</w:t>
            </w:r>
          </w:p>
        </w:tc>
      </w:tr>
      <w:tr>
        <w:tc>
          <w:tcPr>
            <w:tcW w:type="dxa" w:w="31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App:NetworkDrive</w:t>
            </w:r>
          </w:p>
        </w:tc>
        <w:tc>
          <w:tcPr>
            <w:tcW w:type="dxa" w:w="59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Laufwerksbuchstabe, auf den der Share gemappt wird (z. B.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W:</w:t>
            </w:r>
            <w:r>
              <w:rPr>
                <w:sz w:val="19"/>
                <w:szCs w:val="19"/>
              </w:rPr>
              <w:t xml:space="preserve">).</w:t>
            </w:r>
          </w:p>
        </w:tc>
      </w:tr>
      <w:tr>
        <w:tc>
          <w:tcPr>
            <w:tcW w:type="dxa" w:w="31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App:ContentPath</w:t>
            </w:r>
          </w:p>
        </w:tc>
        <w:tc>
          <w:tcPr>
            <w:tcW w:type="dxa" w:w="59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Zielverzeichnis (über das Netzlaufwerk) für hochgeladene Newsletter-Bilder.</w:t>
            </w:r>
          </w:p>
        </w:tc>
      </w:tr>
      <w:tr>
        <w:tc>
          <w:tcPr>
            <w:tcW w:type="dxa" w:w="31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App:WebPath</w:t>
            </w:r>
          </w:p>
        </w:tc>
        <w:tc>
          <w:tcPr>
            <w:tcW w:type="dxa" w:w="59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Öffentliche Basis-URL, unter der die hochgeladenen Bilder im Web erreichbar sind. Bestimmt die Bild-URLs im Newsletter.</w:t>
            </w:r>
          </w:p>
        </w:tc>
      </w:tr>
      <w:tr>
        <w:tc>
          <w:tcPr>
            <w:tcW w:type="dxa" w:w="31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OutlookSync</w:t>
            </w:r>
          </w:p>
        </w:tc>
        <w:tc>
          <w:tcPr>
            <w:tcW w:type="dxa" w:w="59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App-Registrierung und Postfach-Zuordnung für den Outlook-Kontakt-Import (Tenant, Client, Secret, Benutzer- und Shared-Mailbox-Zuordnung).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EF3FA" w:sz="2"/>
              <w:left w:val="single" w:color="1D65B6" w:sz="18"/>
              <w:bottom w:val="single" w:color="EEF3FA" w:sz="2"/>
              <w:right w:val="single" w:color="EEF3FA" w:sz="2"/>
            </w:tcBorders>
            <w:shd w:fill="EEF3F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4457E"/>
              </w:rPr>
              <w:t xml:space="preserve">Netzlaufwerk-Verbindung</w:t>
            </w:r>
          </w:p>
          <w:p>
            <w:pPr>
              <w:spacing w:after="40" w:line="264"/>
            </w:pPr>
            <w:r>
              <w:t xml:space="preserve">Beim Bild-Upload trennt der Client zunächst eventuell bestehende Verbindungen zum Laufwerk und Share und verbindet ihn dann frisch mit den hinterlegten Zugangsdaten (Windows-API </w:t>
            </w:r>
          </w:p>
          <w:p>
            <w:pPr>
              <w:spacing w:after="40" w:line="264"/>
            </w:pPr>
            <w:r>
              <w:rPr>
                <w:rFonts w:ascii="Consolas" w:cs="Consolas" w:eastAsia="Consolas" w:hAnsi="Consolas"/>
                <w:color w:val="B03060"/>
                <w:sz w:val="20"/>
                <w:szCs w:val="20"/>
              </w:rPr>
              <w:t xml:space="preserve">WNetAddConnection2</w:t>
            </w:r>
          </w:p>
          <w:p>
            <w:pPr>
              <w:spacing w:after="40" w:line="264"/>
            </w:pPr>
            <w:r>
              <w:t xml:space="preserve">). Schlägt dies fehl, prüfen Sie Erreichbarkeit, Anmeldedaten und ob der Laufwerksbuchstabe bereits anderweitig belegt ist.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  Benutzerhandbuch – Newsletter Sender</w:t>
      </w:r>
    </w:p>
    <w:p>
      <w:pPr>
        <w:pStyle w:val="Heading2"/>
      </w:pPr>
      <w:r>
        <w:t xml:space="preserve">6.1  Programmstart und Hauptfenster</w:t>
      </w:r>
    </w:p>
    <w:p>
      <w:pPr>
        <w:spacing w:after="140" w:line="276"/>
      </w:pPr>
      <w:r>
        <w:t xml:space="preserve">Nach dem Start öffnet sich das maximierte MDI-Hauptfenster. Die Funktionen sind über die Menüleiste erreichbar: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600"/>
        <w:gridCol w:w="4726"/>
      </w:tblGrid>
      <w:tr>
        <w:trPr>
          <w:tblHeader/>
        </w:trPr>
        <w:tc>
          <w:tcPr>
            <w:tcW w:type="dxa" w:w="17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Menü</w:t>
            </w:r>
          </w:p>
        </w:tc>
        <w:tc>
          <w:tcPr>
            <w:tcW w:type="dxa" w:w="26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Eintrag</w:t>
            </w:r>
          </w:p>
        </w:tc>
        <w:tc>
          <w:tcPr>
            <w:tcW w:type="dxa" w:w="4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Funktion / Abschnitt</w:t>
            </w:r>
          </w:p>
        </w:tc>
      </w:tr>
      <w:tr>
        <w:tc>
          <w:tcPr>
            <w:tcW w:type="dxa" w:w="17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Datei</w:t>
            </w:r>
          </w:p>
        </w:tc>
        <w:tc>
          <w:tcPr>
            <w:tcW w:type="dxa" w:w="26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Beenden</w:t>
            </w:r>
          </w:p>
        </w:tc>
        <w:tc>
          <w:tcPr>
            <w:tcW w:type="dxa" w:w="4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Schließt die Anwendung.</w:t>
            </w:r>
          </w:p>
        </w:tc>
      </w:tr>
      <w:tr>
        <w:tc>
          <w:tcPr>
            <w:tcW w:type="dxa" w:w="17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Stammdaten</w:t>
            </w:r>
          </w:p>
        </w:tc>
        <w:tc>
          <w:tcPr>
            <w:tcW w:type="dxa" w:w="26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Newsletter</w:t>
            </w:r>
          </w:p>
        </w:tc>
        <w:tc>
          <w:tcPr>
            <w:tcW w:type="dxa" w:w="4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Newsletter-Redaktion (6.4).</w:t>
            </w:r>
          </w:p>
        </w:tc>
      </w:tr>
      <w:tr>
        <w:tc>
          <w:tcPr>
            <w:tcW w:type="dxa" w:w="17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Stammdaten</w:t>
            </w:r>
          </w:p>
        </w:tc>
        <w:tc>
          <w:tcPr>
            <w:tcW w:type="dxa" w:w="26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Vorlagen</w:t>
            </w:r>
          </w:p>
        </w:tc>
        <w:tc>
          <w:tcPr>
            <w:tcW w:type="dxa" w:w="4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HTML-Mailvorlagen verwalten (6.2).</w:t>
            </w:r>
          </w:p>
        </w:tc>
      </w:tr>
      <w:tr>
        <w:tc>
          <w:tcPr>
            <w:tcW w:type="dxa" w:w="17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Stammdaten</w:t>
            </w:r>
          </w:p>
        </w:tc>
        <w:tc>
          <w:tcPr>
            <w:tcW w:type="dxa" w:w="26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Titel</w:t>
            </w:r>
          </w:p>
        </w:tc>
        <w:tc>
          <w:tcPr>
            <w:tcW w:type="dxa" w:w="4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Titel-/Anredeübersetzungen (6.3).</w:t>
            </w:r>
          </w:p>
        </w:tc>
      </w:tr>
      <w:tr>
        <w:tc>
          <w:tcPr>
            <w:tcW w:type="dxa" w:w="17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Stammdaten</w:t>
            </w:r>
          </w:p>
        </w:tc>
        <w:tc>
          <w:tcPr>
            <w:tcW w:type="dxa" w:w="26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Import Definitionen</w:t>
            </w:r>
          </w:p>
        </w:tc>
        <w:tc>
          <w:tcPr>
            <w:tcW w:type="dxa" w:w="4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CSV-Importschemata (6.3).</w:t>
            </w:r>
          </w:p>
        </w:tc>
      </w:tr>
      <w:tr>
        <w:tc>
          <w:tcPr>
            <w:tcW w:type="dxa" w:w="17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Stammdaten</w:t>
            </w:r>
          </w:p>
        </w:tc>
        <w:tc>
          <w:tcPr>
            <w:tcW w:type="dxa" w:w="26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ECG Check</w:t>
            </w:r>
          </w:p>
        </w:tc>
        <w:tc>
          <w:tcPr>
            <w:tcW w:type="dxa" w:w="4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Abgleich gegen die ECG-Robinsonliste (6.7).</w:t>
            </w:r>
          </w:p>
        </w:tc>
      </w:tr>
      <w:tr>
        <w:tc>
          <w:tcPr>
            <w:tcW w:type="dxa" w:w="17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Versand</w:t>
            </w:r>
          </w:p>
        </w:tc>
        <w:tc>
          <w:tcPr>
            <w:tcW w:type="dxa" w:w="26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—</w:t>
            </w:r>
          </w:p>
        </w:tc>
        <w:tc>
          <w:tcPr>
            <w:tcW w:type="dxa" w:w="4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Empfänger, Import, Test- und Massenversand (6.5).</w:t>
            </w:r>
          </w:p>
        </w:tc>
      </w:tr>
      <w:tr>
        <w:tc>
          <w:tcPr>
            <w:tcW w:type="dxa" w:w="17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Formulare</w:t>
            </w:r>
          </w:p>
        </w:tc>
        <w:tc>
          <w:tcPr>
            <w:tcW w:type="dxa" w:w="26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—</w:t>
            </w:r>
          </w:p>
        </w:tc>
        <w:tc>
          <w:tcPr>
            <w:tcW w:type="dxa" w:w="4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Web-Formulare und Einsendungen (6.6).</w:t>
            </w:r>
          </w:p>
        </w:tc>
      </w:tr>
    </w:tbl>
    <w:p>
      <w:pPr>
        <w:pStyle w:val="Heading2"/>
      </w:pPr>
      <w:r>
        <w:t xml:space="preserve">6.2  Vorlagen</w:t>
      </w:r>
    </w:p>
    <w:p>
      <w:pPr>
        <w:spacing w:after="140" w:line="276"/>
      </w:pPr>
      <w:r>
        <w:t xml:space="preserve">Unter Stammdaten ▸ Vorlagen verwalten Sie die HTML-Mailvorlagen (`MailTemplates`). Eine Vorlage enthält den Grundaufbau des Newsletters und Platzhalter (Variablen), die beim Versand pro Empfänger ersetzt werden. Variablen werden in doppelten geschweiften Klammern notiert, z. B. `{{PreName}}`. Bild-Platzhalter können einen Inhaltstyp tragen, etwa als Kommentar `&lt;!-- {{image1[file]}} --&gt;`.</w:t>
      </w:r>
    </w:p>
    <w:p>
      <w:pPr>
        <w:pStyle w:val="Heading2"/>
      </w:pPr>
      <w:r>
        <w:t xml:space="preserve">6.3  Titel und Import-Definitionen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Titel: </w:t>
      </w:r>
      <w:r>
        <w:t xml:space="preserve">Pflegt Anrede-/Titelübersetzungen, aus denen pro Empfänger eine korrekte Anrede (Salutation) generiert wird. Die Ausgangsdaten liegen u. a. in `titles.xlsx`.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Import-Definitionen: </w:t>
      </w:r>
      <w:r>
        <w:t xml:space="preserve">Definieren, wie Spalten einer CSV-Datei auf die Empfängerfelder abgebildet werden. Jede Definition trägt einen Namen, der später im Import-Dialog ausgewählt wird.</w:t>
      </w:r>
    </w:p>
    <w:p>
      <w:pPr>
        <w:pStyle w:val="Heading2"/>
      </w:pPr>
      <w:r>
        <w:t xml:space="preserve">6.4  Newsletter erstellen</w:t>
      </w:r>
    </w:p>
    <w:p>
      <w:pPr>
        <w:spacing w:after="140" w:line="276"/>
      </w:pPr>
      <w:r>
        <w:t xml:space="preserve">Das Redaktionsfenster (Stammdaten ▸ Newsletter) verbindet eine Vorlage mit konkreten Inhalten:</w:t>
      </w:r>
    </w:p>
    <w:p>
      <w:pPr>
        <w:pStyle w:val="ListParagraph"/>
        <w:numPr>
          <w:ilvl w:val="0"/>
          <w:numId w:val="6"/>
        </w:numPr>
        <w:spacing w:after="80" w:line="268"/>
      </w:pPr>
      <w:r>
        <w:rPr>
          <w:b/>
          <w:bCs/>
        </w:rPr>
        <w:t xml:space="preserve">Newsletter anlegen/auswählen: </w:t>
      </w:r>
      <w:r>
        <w:t xml:space="preserve">In der Liste links einen bestehenden Newsletter wählen oder einen neuen erstellen. Betreff und Name werden gesetzt und gespeichert.</w:t>
      </w:r>
    </w:p>
    <w:p>
      <w:pPr>
        <w:pStyle w:val="ListParagraph"/>
        <w:numPr>
          <w:ilvl w:val="0"/>
          <w:numId w:val="6"/>
        </w:numPr>
        <w:spacing w:after="80" w:line="268"/>
      </w:pPr>
      <w:r>
        <w:rPr>
          <w:b/>
          <w:bCs/>
        </w:rPr>
        <w:t xml:space="preserve">Vorlage zuordnen: </w:t>
      </w:r>
      <w:r>
        <w:t xml:space="preserve">Beim Wechsel der Vorlage werden deren Variablen automatisch ermittelt und in zwei Gruppen geteilt: einfache (gemeinsame) Variablen und Wiederholungsblöcke.</w:t>
      </w:r>
    </w:p>
    <w:p>
      <w:pPr>
        <w:pStyle w:val="ListParagraph"/>
        <w:numPr>
          <w:ilvl w:val="0"/>
          <w:numId w:val="6"/>
        </w:numPr>
        <w:spacing w:after="80" w:line="268"/>
      </w:pPr>
      <w:r>
        <w:rPr>
          <w:b/>
          <w:bCs/>
        </w:rPr>
        <w:t xml:space="preserve">Gemeinsame Variablen befüllen: </w:t>
      </w:r>
      <w:r>
        <w:t xml:space="preserve">Für jede Top-Level-Variable wird ein Eingabefeld erzeugt; Systemvariablen (z. B. Empfängerdaten) werden ausgenommen.</w:t>
      </w:r>
    </w:p>
    <w:p>
      <w:pPr>
        <w:pStyle w:val="ListParagraph"/>
        <w:numPr>
          <w:ilvl w:val="0"/>
          <w:numId w:val="6"/>
        </w:numPr>
        <w:spacing w:after="80" w:line="268"/>
      </w:pPr>
      <w:r>
        <w:rPr>
          <w:b/>
          <w:bCs/>
        </w:rPr>
        <w:t xml:space="preserve">Wiederholungsblöcke pflegen: </w:t>
      </w:r>
      <w:r>
        <w:t xml:space="preserve">Für wiederkehrende Bereiche (z. B. Produktlisten) legen Sie mehrere Zeilen an, ordnen sie per „nach oben/unten“ und bearbeiten sie im Detaildialog.</w:t>
      </w:r>
    </w:p>
    <w:p>
      <w:pPr>
        <w:pStyle w:val="ListParagraph"/>
        <w:numPr>
          <w:ilvl w:val="0"/>
          <w:numId w:val="6"/>
        </w:numPr>
        <w:spacing w:after="80" w:line="268"/>
      </w:pPr>
      <w:r>
        <w:rPr>
          <w:b/>
          <w:bCs/>
        </w:rPr>
        <w:t xml:space="preserve">Bilder einbinden: </w:t>
      </w:r>
      <w:r>
        <w:t xml:space="preserve">Bild-Variablen (Inline- oder Web-Bild) werden beim Speichern auf den Content-Share unter `ContentPath/&lt;Newsletter-Id&gt;` hochgeladen und über `WebPath` verlinkt.</w:t>
      </w:r>
    </w:p>
    <w:p>
      <w:pPr>
        <w:pStyle w:val="ListParagraph"/>
        <w:numPr>
          <w:ilvl w:val="0"/>
          <w:numId w:val="6"/>
        </w:numPr>
        <w:spacing w:after="80" w:line="268"/>
      </w:pPr>
      <w:r>
        <w:rPr>
          <w:b/>
          <w:bCs/>
        </w:rPr>
        <w:t xml:space="preserve">Vorschau: </w:t>
      </w:r>
      <w:r>
        <w:t xml:space="preserve">Die WebView2-Vorschau zeigt das gerenderte Ergebnis.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EF3FA" w:sz="2"/>
              <w:left w:val="single" w:color="1D65B6" w:sz="18"/>
              <w:bottom w:val="single" w:color="EEF3FA" w:sz="2"/>
              <w:right w:val="single" w:color="EEF3FA" w:sz="2"/>
            </w:tcBorders>
            <w:shd w:fill="EEF3F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4457E"/>
              </w:rPr>
              <w:t xml:space="preserve">Bild-Upload und Netzlaufwerk</w:t>
            </w:r>
          </w:p>
          <w:p>
            <w:pPr>
              <w:spacing w:after="40" w:line="264"/>
            </w:pPr>
            <w:r>
              <w:t xml:space="preserve">Vor dem Hochladen verbindet der Client das konfigurierte Netzlaufwerk. Die Schaltfläche „Netzlaufwerk verbinden“ zeigt den aktuellen Zielpfad an und stellt die Verbindung bei Bedarf manuell wieder her.</w:t>
            </w:r>
          </w:p>
        </w:tc>
      </w:tr>
    </w:tbl>
    <w:p>
      <w:pPr>
        <w:pStyle w:val="Heading2"/>
      </w:pPr>
      <w:r>
        <w:t xml:space="preserve">6.5  Empfänger und Versand</w:t>
      </w:r>
    </w:p>
    <w:p>
      <w:pPr>
        <w:spacing w:after="140" w:line="276"/>
      </w:pPr>
      <w:r>
        <w:t xml:space="preserve">Das Versandfenster (Menü Versand) bündelt Empfängerverwaltung, Import und Versand.</w:t>
      </w:r>
    </w:p>
    <w:p>
      <w:pPr>
        <w:pStyle w:val="Heading3"/>
      </w:pPr>
      <w:r>
        <w:t xml:space="preserve">6.5.1  Empfängerlisten anzeigen und filtern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t xml:space="preserve">Oben wählen Sie Newsletter, Empfängerliste (RecipientCollection) und Importdefinition aus.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Datum „letzter Versand“: </w:t>
      </w:r>
      <w:r>
        <w:t xml:space="preserve">Es werden nur Empfänger angezeigt, deren letzter Versand vor dem gewählten Datum liegt – oder die explizit das Datum ignorieren (`IgnoreLastSendDate`).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Abgemeldet-Filter: </w:t>
      </w:r>
      <w:r>
        <w:t xml:space="preserve">Über die Dreifachauswahl (Ja/Nein/Alle) blenden Sie abgemeldete Empfänger ein oder aus.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Anrede-Generierung: </w:t>
      </w:r>
      <w:r>
        <w:t xml:space="preserve">Fehlende Anreden werden beim Laden automatisch erzeugt; der Fortschritt wird angezeigt.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t xml:space="preserve">Ein Doppelklick auf einen Empfänger öffnet die Detailbearbeitung.</w:t>
      </w:r>
    </w:p>
    <w:p>
      <w:pPr>
        <w:pStyle w:val="Heading3"/>
      </w:pPr>
      <w:r>
        <w:t xml:space="preserve">6.5.2  CSV-Import</w:t>
      </w:r>
    </w:p>
    <w:p>
      <w:pPr>
        <w:pStyle w:val="ListParagraph"/>
        <w:numPr>
          <w:ilvl w:val="0"/>
          <w:numId w:val="7"/>
        </w:numPr>
        <w:spacing w:after="80" w:line="268"/>
      </w:pPr>
      <w:r>
        <w:t xml:space="preserve">Importdefinition, Datei und Ziel-Empfängerliste auswählen.</w:t>
      </w:r>
    </w:p>
    <w:p>
      <w:pPr>
        <w:pStyle w:val="ListParagraph"/>
        <w:numPr>
          <w:ilvl w:val="0"/>
          <w:numId w:val="7"/>
        </w:numPr>
        <w:spacing w:after="80" w:line="268"/>
      </w:pPr>
      <w:r>
        <w:t xml:space="preserve">Optional „Überschreiben“ aktivieren, um bestehende Datensätze zu aktualisieren.</w:t>
      </w:r>
    </w:p>
    <w:p>
      <w:pPr>
        <w:pStyle w:val="ListParagraph"/>
        <w:numPr>
          <w:ilvl w:val="0"/>
          <w:numId w:val="7"/>
        </w:numPr>
        <w:spacing w:after="80" w:line="268"/>
      </w:pPr>
      <w:r>
        <w:t xml:space="preserve">Import starten – ein Statusfenster zeigt den Fortschritt; danach erscheint eine Zusammenfassung (neu / aktualisiert / Fehler).</w:t>
      </w:r>
    </w:p>
    <w:p>
      <w:pPr>
        <w:pStyle w:val="Heading3"/>
      </w:pPr>
      <w:r>
        <w:t xml:space="preserve">6.5.3  Outlook-Kontakt-Import</w:t>
      </w:r>
    </w:p>
    <w:p>
      <w:pPr>
        <w:spacing w:after="140" w:line="276"/>
      </w:pPr>
      <w:r>
        <w:t xml:space="preserve">In der Outlook-Sektion wählen Sie ein konfiguriertes Postfach bzw. eine Shared-Mailbox sowie die Ziel-Empfängerliste und importieren die Kontakte über Microsoft Graph. Das Ergebnis (importiert/Fehler) wird gemeldet. Die Zuordnung von Postfächern zu berechtigten Benutzern erfolgt über `OutlookSync` in der `appsettings.json`.</w:t>
      </w:r>
    </w:p>
    <w:p>
      <w:pPr>
        <w:pStyle w:val="Heading3"/>
      </w:pPr>
      <w:r>
        <w:t xml:space="preserve">6.5.4  Testversand</w:t>
      </w:r>
    </w:p>
    <w:p>
      <w:pPr>
        <w:spacing w:after="140" w:line="276"/>
      </w:pPr>
      <w:r>
        <w:t xml:space="preserve">Geben Sie eine Anzahl Testmails an. Es werden die ersten n Empfänger der Liste personalisiert gerendert, aber alle an die unter `SendTestTo` hinterlegte Testadresse versendet. So prüfen Sie Layout und Variablenersetzung gefahrlos.</w:t>
      </w:r>
    </w:p>
    <w:p>
      <w:pPr>
        <w:pStyle w:val="Heading3"/>
      </w:pPr>
      <w:r>
        <w:t xml:space="preserve">6.5.5  Massenversand</w:t>
      </w:r>
    </w:p>
    <w:p>
      <w:pPr>
        <w:pStyle w:val="ListParagraph"/>
        <w:numPr>
          <w:ilvl w:val="0"/>
          <w:numId w:val="8"/>
        </w:numPr>
        <w:spacing w:after="80" w:line="268"/>
      </w:pPr>
      <w:r>
        <w:t xml:space="preserve">Newsletter und Empfängerliste auswählen.</w:t>
      </w:r>
    </w:p>
    <w:p>
      <w:pPr>
        <w:pStyle w:val="ListParagraph"/>
        <w:numPr>
          <w:ilvl w:val="0"/>
          <w:numId w:val="8"/>
        </w:numPr>
        <w:spacing w:after="80" w:line="268"/>
      </w:pPr>
      <w:r>
        <w:t xml:space="preserve">Der Client zählt die zu versendenden Empfänger und fragt vor dem Versand zur Bestätigung nach.</w:t>
      </w:r>
    </w:p>
    <w:p>
      <w:pPr>
        <w:pStyle w:val="ListParagraph"/>
        <w:numPr>
          <w:ilvl w:val="0"/>
          <w:numId w:val="8"/>
        </w:numPr>
        <w:spacing w:after="80" w:line="268"/>
      </w:pPr>
      <w:r>
        <w:t xml:space="preserve">Pro Empfänger wird der personalisierte Inhalt erzeugt, die Mail über den Mailprovider versendet und der Zeitpunkt des letzten Versands (`LastNewsletterSentAt`) gespeichert.</w:t>
      </w:r>
    </w:p>
    <w:p>
      <w:pPr>
        <w:pStyle w:val="ListParagraph"/>
        <w:numPr>
          <w:ilvl w:val="0"/>
          <w:numId w:val="8"/>
        </w:numPr>
        <w:spacing w:after="80" w:line="268"/>
      </w:pPr>
      <w:r>
        <w:t xml:space="preserve">Ein Statusfenster zeigt den laufenden Fortschritt mit Empfängeradresse an.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EFD6" w:sz="2"/>
              <w:left w:val="single" w:color="E0A93C" w:sz="18"/>
              <w:bottom w:val="single" w:color="FCEFD6" w:sz="2"/>
              <w:right w:val="single" w:color="FCEFD6" w:sz="2"/>
            </w:tcBorders>
            <w:shd w:fill="FCEFD6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8A5800"/>
              </w:rPr>
              <w:t xml:space="preserve">Vor dem ersten Echtversand</w:t>
            </w:r>
          </w:p>
          <w:p>
            <w:pPr>
              <w:spacing w:after="40" w:line="264"/>
            </w:pPr>
            <w:r>
              <w:rPr>
                <w:b/>
                <w:bCs/>
              </w:rPr>
              <w:t xml:space="preserve">1. </w:t>
            </w:r>
            <w:r>
              <w:t xml:space="preserve">Immer zuerst einen Testversand durchführen.</w:t>
            </w:r>
          </w:p>
          <w:p>
            <w:pPr>
              <w:spacing w:after="40" w:line="264"/>
            </w:pPr>
            <w:r>
              <w:rPr>
                <w:b/>
                <w:bCs/>
              </w:rPr>
              <w:t xml:space="preserve">2. </w:t>
            </w:r>
            <w:r>
              <w:t xml:space="preserve">Sicherstellen, dass abgemeldete Empfänger korrekt ausgefiltert sind (Filter „Abgemeldet = Nein“).</w:t>
            </w:r>
          </w:p>
          <w:p>
            <w:pPr>
              <w:spacing w:after="40" w:line="264"/>
            </w:pPr>
            <w:r>
              <w:rPr>
                <w:b/>
                <w:bCs/>
              </w:rPr>
              <w:t xml:space="preserve">3. </w:t>
            </w:r>
            <w:r>
              <w:t xml:space="preserve">Absenderadresse/-name und Betreff kontrollieren.</w:t>
            </w:r>
          </w:p>
        </w:tc>
      </w:tr>
    </w:tbl>
    <w:p>
      <w:pPr>
        <w:pStyle w:val="Heading2"/>
      </w:pPr>
      <w:r>
        <w:t xml:space="preserve">6.6  Web-Formulare verwalten</w:t>
      </w:r>
    </w:p>
    <w:p>
      <w:pPr>
        <w:spacing w:after="140" w:line="276"/>
      </w:pPr>
      <w:r>
        <w:t xml:space="preserve">Über das Menü Formulare administrieren Sie die vom Server unter `/Forms/{name}` veröffentlichten Formulare.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Formular anlegen/bearbeiten: </w:t>
      </w:r>
      <w:r>
        <w:t xml:space="preserve">Name (URL-Bestandteil), Titel, Betreff und Ziel-E-Mail (`ResultEmail`) festlegen.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Felder definieren: </w:t>
      </w:r>
      <w:r>
        <w:t xml:space="preserve">Felder vom Typ Text, Datum, Radiogruppe, Checkbox oder Checkboxgruppe hinzufügen, ordnen und als Pflichtfeld markieren.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Aktivierung: </w:t>
      </w:r>
      <w:r>
        <w:t xml:space="preserve">Nur aktive Formulare (`Active`) werden öffentlich angezeigt; inaktive erscheinen in der Liste ausgegraut.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Einsendungen: </w:t>
      </w:r>
      <w:r>
        <w:t xml:space="preserve">Eingegangene Antworten (`FormSubmissions`) lassen sich einsehen.</w:t>
      </w:r>
    </w:p>
    <w:p>
      <w:pPr>
        <w:pStyle w:val="Heading2"/>
      </w:pPr>
      <w:r>
        <w:t xml:space="preserve">6.7  ECG-Check (Robinsonliste)</w:t>
      </w:r>
    </w:p>
    <w:p>
      <w:pPr>
        <w:spacing w:after="140" w:line="276"/>
      </w:pPr>
      <w:r>
        <w:t xml:space="preserve">Über Stammdaten ▸ ECG Check werden alle aktiven Empfänger gegen die ECG-Robinsonliste der RTR abgeglichen. Treffer werden mit dem Abmeldegrund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  <w:color w:val="B03060"/>
          <w:sz w:val="20"/>
          <w:szCs w:val="20"/>
        </w:rPr>
        <w:t xml:space="preserve">Ecg</w:t>
      </w:r>
      <w:r>
        <w:t xml:space="preserve"> und einem Abmeldezeitpunkt versehen und damit künftig vom Versand ausgeschlossen. Nach Abschluss erscheint eine Zusammenfassung (aktualisierte Empfänger / Fehler).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EFD6" w:sz="2"/>
              <w:left w:val="single" w:color="E0A93C" w:sz="18"/>
              <w:bottom w:val="single" w:color="FCEFD6" w:sz="2"/>
              <w:right w:val="single" w:color="FCEFD6" w:sz="2"/>
            </w:tcBorders>
            <w:shd w:fill="FCEFD6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8A5800"/>
              </w:rPr>
              <w:t xml:space="preserve">Rechtlicher Hinweis (Österreich)</w:t>
            </w:r>
          </w:p>
          <w:p>
            <w:pPr>
              <w:spacing w:after="40" w:line="264"/>
            </w:pPr>
            <w:r>
              <w:t xml:space="preserve">Der Abgleich mit der ECG-Liste (§ 7 ECG) ist vor kommerziellen Aussendungen verpflichtend. Führen Sie den ECG-Check regelmäßig und insbesondere vor größeren Kampagnen durch.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7  Typische Arbeitsabläufe</w:t>
      </w:r>
    </w:p>
    <w:p>
      <w:pPr>
        <w:pStyle w:val="Heading2"/>
      </w:pPr>
      <w:r>
        <w:t xml:space="preserve">7.1  Neuen Newsletter von Grund auf versenden</w:t>
      </w:r>
    </w:p>
    <w:p>
      <w:pPr>
        <w:pStyle w:val="ListParagraph"/>
        <w:numPr>
          <w:ilvl w:val="0"/>
          <w:numId w:val="9"/>
        </w:numPr>
        <w:spacing w:after="80" w:line="268"/>
      </w:pPr>
      <w:r>
        <w:t xml:space="preserve">Empfängerliste aktualisieren: CSV importieren und/oder Outlook-Kontakte importieren (6.5.2 / 6.5.3).</w:t>
      </w:r>
    </w:p>
    <w:p>
      <w:pPr>
        <w:pStyle w:val="ListParagraph"/>
        <w:numPr>
          <w:ilvl w:val="0"/>
          <w:numId w:val="9"/>
        </w:numPr>
        <w:spacing w:after="80" w:line="268"/>
      </w:pPr>
      <w:r>
        <w:t xml:space="preserve">ECG-Check ausführen, um abgemeldete/gesperrte Adressen auszuschließen (6.7).</w:t>
      </w:r>
    </w:p>
    <w:p>
      <w:pPr>
        <w:pStyle w:val="ListParagraph"/>
        <w:numPr>
          <w:ilvl w:val="0"/>
          <w:numId w:val="9"/>
        </w:numPr>
        <w:spacing w:after="80" w:line="268"/>
      </w:pPr>
      <w:r>
        <w:t xml:space="preserve">Vorlage prüfen oder neue anlegen (6.2).</w:t>
      </w:r>
    </w:p>
    <w:p>
      <w:pPr>
        <w:pStyle w:val="ListParagraph"/>
        <w:numPr>
          <w:ilvl w:val="0"/>
          <w:numId w:val="9"/>
        </w:numPr>
        <w:spacing w:after="80" w:line="268"/>
      </w:pPr>
      <w:r>
        <w:t xml:space="preserve">Newsletter erstellen, Variablen befüllen, Bilder hochladen, Vorschau prüfen (6.4).</w:t>
      </w:r>
    </w:p>
    <w:p>
      <w:pPr>
        <w:pStyle w:val="ListParagraph"/>
        <w:numPr>
          <w:ilvl w:val="0"/>
          <w:numId w:val="9"/>
        </w:numPr>
        <w:spacing w:after="80" w:line="268"/>
      </w:pPr>
      <w:r>
        <w:t xml:space="preserve">Testversand an die Testadresse durchführen und Ergebnis kontrollieren (6.5.4).</w:t>
      </w:r>
    </w:p>
    <w:p>
      <w:pPr>
        <w:pStyle w:val="ListParagraph"/>
        <w:numPr>
          <w:ilvl w:val="0"/>
          <w:numId w:val="9"/>
        </w:numPr>
        <w:spacing w:after="80" w:line="268"/>
      </w:pPr>
      <w:r>
        <w:t xml:space="preserve">Filter setzen (abgemeldete ausschließen, Versanddatum), dann Massenversand bestätigen (6.5.5).</w:t>
      </w:r>
    </w:p>
    <w:p>
      <w:pPr>
        <w:pStyle w:val="Heading2"/>
      </w:pPr>
      <w:r>
        <w:t xml:space="preserve">7.2  Anmeldeformular in die Website einbinden</w:t>
      </w:r>
    </w:p>
    <w:p>
      <w:pPr>
        <w:pStyle w:val="ListParagraph"/>
        <w:numPr>
          <w:ilvl w:val="0"/>
          <w:numId w:val="10"/>
        </w:numPr>
        <w:spacing w:after="80" w:line="268"/>
      </w:pPr>
      <w:r>
        <w:t xml:space="preserve">Sicherstellen, dass der Server unter der konfigurierten `BaseUrl` öffentlich erreichbar ist.</w:t>
      </w:r>
    </w:p>
    <w:p>
      <w:pPr>
        <w:pStyle w:val="ListParagraph"/>
        <w:numPr>
          <w:ilvl w:val="0"/>
          <w:numId w:val="10"/>
        </w:numPr>
        <w:spacing w:after="80" w:line="268"/>
      </w:pPr>
      <w:r>
        <w:t xml:space="preserve">Auf `https://&lt;BaseUrl&gt;/subscribe` verlinken oder die Seite per Iframe/Link einbetten.</w:t>
      </w:r>
    </w:p>
    <w:p>
      <w:pPr>
        <w:pStyle w:val="ListParagraph"/>
        <w:numPr>
          <w:ilvl w:val="0"/>
          <w:numId w:val="10"/>
        </w:numPr>
        <w:spacing w:after="80" w:line="268"/>
      </w:pPr>
      <w:r>
        <w:t xml:space="preserve">reCAPTCHA-Schlüssel auf die Domain registrieren, damit die Prüfung erfolgreich ist.</w:t>
      </w:r>
    </w:p>
    <w:p>
      <w:pPr>
        <w:pStyle w:val="ListParagraph"/>
        <w:numPr>
          <w:ilvl w:val="0"/>
          <w:numId w:val="10"/>
        </w:numPr>
        <w:spacing w:after="80" w:line="268"/>
      </w:pPr>
      <w:r>
        <w:t xml:space="preserve">Den Double-Opt-In-Ablauf einmal vollständig testen (Anmeldung → Bestätigungsmail → Bestätigungslink).</w:t>
      </w:r>
    </w:p>
    <w:p>
      <w:pPr>
        <w:pStyle w:val="Heading2"/>
      </w:pPr>
      <w:r>
        <w:t xml:space="preserve">7.3  Neues Web-Formular bereitstellen</w:t>
      </w:r>
    </w:p>
    <w:p>
      <w:pPr>
        <w:pStyle w:val="ListParagraph"/>
        <w:numPr>
          <w:ilvl w:val="0"/>
          <w:numId w:val="11"/>
        </w:numPr>
        <w:spacing w:after="80" w:line="268"/>
      </w:pPr>
      <w:r>
        <w:t xml:space="preserve">Im Client unter Formulare ein Formular mit eindeutigem Namen, Titel, Feldern und Ziel-E-Mail anlegen.</w:t>
      </w:r>
    </w:p>
    <w:p>
      <w:pPr>
        <w:pStyle w:val="ListParagraph"/>
        <w:numPr>
          <w:ilvl w:val="0"/>
          <w:numId w:val="11"/>
        </w:numPr>
        <w:spacing w:after="80" w:line="268"/>
      </w:pPr>
      <w:r>
        <w:t xml:space="preserve">Formular auf „aktiv“ setzen.</w:t>
      </w:r>
    </w:p>
    <w:p>
      <w:pPr>
        <w:pStyle w:val="ListParagraph"/>
        <w:numPr>
          <w:ilvl w:val="0"/>
          <w:numId w:val="11"/>
        </w:numPr>
        <w:spacing w:after="80" w:line="268"/>
      </w:pPr>
      <w:r>
        <w:t xml:space="preserve">Unter `https://&lt;BaseUrl&gt;/Forms/&lt;name&gt;` aufrufen und testen.</w:t>
      </w:r>
    </w:p>
    <w:p>
      <w:pPr>
        <w:pStyle w:val="ListParagraph"/>
        <w:numPr>
          <w:ilvl w:val="0"/>
          <w:numId w:val="11"/>
        </w:numPr>
        <w:spacing w:after="80" w:line="268"/>
      </w:pPr>
      <w:r>
        <w:t xml:space="preserve">Eingegangene Einsendungen im Client kontrollieren.</w:t>
      </w:r>
    </w:p>
    <w:p>
      <w:r>
        <w:br w:type="page"/>
      </w:r>
    </w:p>
    <w:p>
      <w:pPr>
        <w:pStyle w:val="Heading1"/>
      </w:pPr>
      <w:r>
        <w:t xml:space="preserve">8  Sicherheit, Geheimnisse und Datenschutz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EFD6" w:sz="2"/>
              <w:left w:val="single" w:color="E0A93C" w:sz="18"/>
              <w:bottom w:val="single" w:color="FCEFD6" w:sz="2"/>
              <w:right w:val="single" w:color="FCEFD6" w:sz="2"/>
            </w:tcBorders>
            <w:shd w:fill="FCEFD6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8A5800"/>
              </w:rPr>
              <w:t xml:space="preserve">Geheimnisse niemals im Klartext einchecken</w:t>
            </w:r>
          </w:p>
          <w:p>
            <w:pPr>
              <w:spacing w:after="40" w:line="264"/>
            </w:pPr>
            <w:r>
              <w:t xml:space="preserve">Die ausgelieferten `appsettings.json` enthalten produktive Zugangsdaten (SendGrid-API-Key, reCAPTCHA-Secret, Netzwerk-Passwort, Graph-Client-Secret, ECG-API-Key). Diese gehören NICHT in die Versionsverwaltung und sollten ausgelagert werden.</w:t>
            </w:r>
          </w:p>
        </w:tc>
      </w:tr>
    </w:tbl>
    <w:p>
      <w:pPr>
        <w:pStyle w:val="Heading2"/>
      </w:pPr>
      <w:r>
        <w:t xml:space="preserve">8.1  Empfohlene Ablage von Geheimnissen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Entwicklung: </w:t>
      </w:r>
      <w:r>
        <w:t xml:space="preserve">User Secrets verwenden – </w:t>
      </w:r>
      <w:r>
        <w:rPr>
          <w:rFonts w:ascii="Consolas" w:cs="Consolas" w:eastAsia="Consolas" w:hAnsi="Consolas"/>
          <w:color w:val="B03060"/>
          <w:sz w:val="20"/>
          <w:szCs w:val="20"/>
        </w:rPr>
        <w:t xml:space="preserve">dotnet user-secrets set "MailConfig:Smtp:Password" "&lt;key&gt;"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Server-Betrieb: </w:t>
      </w:r>
      <w:r>
        <w:t xml:space="preserve">Umgebungsvariablen (z. B. </w:t>
      </w:r>
      <w:r>
        <w:rPr>
          <w:rFonts w:ascii="Consolas" w:cs="Consolas" w:eastAsia="Consolas" w:hAnsi="Consolas"/>
          <w:color w:val="B03060"/>
          <w:sz w:val="20"/>
          <w:szCs w:val="20"/>
        </w:rPr>
        <w:t xml:space="preserve">MailConfig__Smtp__Password</w:t>
      </w:r>
      <w:r>
        <w:t xml:space="preserve">) oder ein Secret-Store. Die doppelten Unterstriche bilden die JSON-Hierarchie ab.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Zertifikate: </w:t>
      </w:r>
      <w:r>
        <w:t xml:space="preserve">PFX-Datei und Passwort getrennt von der Anwendung verwalten; Dateizugriff auf das Pool-Konto beschränken.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ECG-API-Key: </w:t>
      </w:r>
      <w:r>
        <w:t xml:space="preserve">Aus dem Quellcode (`EcgCheck.cs`) in die Konfiguration auslagern.</w:t>
      </w:r>
    </w:p>
    <w:p>
      <w:pPr>
        <w:spacing w:after="140" w:line="276"/>
      </w:pPr>
      <w:r>
        <w:t xml:space="preserve">Da ASP.NET Core und der generische Host Konfigurationsquellen überlagern, übersteuern Umgebungsvariablen und User Secrets automatisch die Werte aus `appsettings.json` – Schlüsselnamen müssen lediglich identisch sein.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CEFD6" w:sz="2"/>
              <w:left w:val="single" w:color="E0A93C" w:sz="18"/>
              <w:bottom w:val="single" w:color="FCEFD6" w:sz="2"/>
              <w:right w:val="single" w:color="FCEFD6" w:sz="2"/>
            </w:tcBorders>
            <w:shd w:fill="FCEFD6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8A5800"/>
              </w:rPr>
              <w:t xml:space="preserve">Sofortmaßnahme</w:t>
            </w:r>
          </w:p>
          <w:p>
            <w:pPr>
              <w:spacing w:after="40" w:line="264"/>
            </w:pPr>
            <w:r>
              <w:t xml:space="preserve">Sind die in den Projektdateien enthaltenen produktiven Schlüssel und Passwörter bereits weitergegeben worden, sollten sie rotiert werden: SendGrid-API-Key neu erzeugen, Netzwerk-Passwort ändern, Graph-Client-Secret zurücksetzen.</w:t>
            </w:r>
          </w:p>
        </w:tc>
      </w:tr>
    </w:tbl>
    <w:p>
      <w:pPr>
        <w:pStyle w:val="Heading2"/>
      </w:pPr>
      <w:r>
        <w:t xml:space="preserve">8.2  Datenschutz (DSGVO/ECG)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Double-Opt-In: </w:t>
      </w:r>
      <w:r>
        <w:t xml:space="preserve">Anmeldungen werden erst nach Bestätigung des Links aktiv – nachweisbare Einwilligung.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Abmeldung: </w:t>
      </w:r>
      <w:r>
        <w:t xml:space="preserve">Jede Aussendung enthält einen funktionierenden Abmeldelink; Abmeldungen werden mit Grund und Zeitpunkt protokolliert.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ECG-Robinsonliste: </w:t>
      </w:r>
      <w:r>
        <w:t xml:space="preserve">Regelmäßiger Abgleich vor kommerziellen Aussendungen.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Datensparsamkeit: </w:t>
      </w:r>
      <w:r>
        <w:t xml:space="preserve">Nur erforderliche Empfängerdaten erheben; Speicherorte (MongoDB, Content-Share) absichern und Backups verschlüsseln.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rPr>
          <w:b/>
          <w:bCs/>
        </w:rPr>
        <w:t xml:space="preserve">Sichtbarkeit: </w:t>
      </w:r>
      <w:r>
        <w:t xml:space="preserve">Der Server setzt `X-Robots-Tag: noindex,nofollow`, sodass Verwaltungsseiten nicht indexiert werden.</w:t>
      </w:r>
    </w:p>
    <w:p>
      <w:r>
        <w:br w:type="page"/>
      </w:r>
    </w:p>
    <w:p>
      <w:pPr>
        <w:pStyle w:val="Heading1"/>
      </w:pPr>
      <w:r>
        <w:t xml:space="preserve">9  Wartung und Fehlerbehebung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5726"/>
      </w:tblGrid>
      <w:tr>
        <w:trPr>
          <w:tblHeader/>
        </w:trP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Symptom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1D65B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Mögliche Ursache / Lösung</w:t>
            </w:r>
          </w:p>
        </w:tc>
      </w:tr>
      <w:t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Server startet nicht, Meldung „ReCaptcha-Konfiguration fehlt“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Abschnitt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ReCaptcha</w:t>
            </w:r>
            <w:r>
              <w:rPr>
                <w:sz w:val="19"/>
                <w:szCs w:val="19"/>
              </w:rPr>
              <w:t xml:space="preserve"> (Site- und Secret-Key) fehlt oder ist leer. Auch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</w:t>
            </w:r>
            <w:r>
              <w:rPr>
                <w:sz w:val="19"/>
                <w:szCs w:val="19"/>
              </w:rPr>
              <w:t xml:space="preserve">-Abschnitt ist Pflicht.</w:t>
            </w:r>
          </w:p>
        </w:tc>
      </w:tr>
      <w:t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Fehler beim Start nach Paket-Update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Swashbuckle bzw. OpenApi auf inkompatible Version aktualisiert. Auf Swashbuckle 6.9.0 zurücksetzen.</w:t>
            </w:r>
          </w:p>
        </w:tc>
      </w:tr>
      <w:t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Publish schlägt fehl (RID/Framework)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TargetFramework und Runtime-Identifier abgleichen (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net9.0</w:t>
            </w:r>
            <w:r>
              <w:rPr>
                <w:sz w:val="19"/>
                <w:szCs w:val="19"/>
              </w:rPr>
              <w:t xml:space="preserve"> vs.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net9.0-windows</w:t>
            </w:r>
            <w:r>
              <w:rPr>
                <w:sz w:val="19"/>
                <w:szCs w:val="19"/>
              </w:rPr>
              <w:t xml:space="preserve">).</w:t>
            </w:r>
          </w:p>
        </w:tc>
      </w:tr>
      <w:t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Bestätigungslinks zeigen ins Leere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App:BaseUrl</w:t>
            </w:r>
            <w:r>
              <w:rPr>
                <w:sz w:val="19"/>
                <w:szCs w:val="19"/>
              </w:rPr>
              <w:t xml:space="preserve"> stimmt nicht mit der öffentlich erreichbaren Adresse überein.</w:t>
            </w:r>
          </w:p>
        </w:tc>
      </w:tr>
      <w:t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Keine Mails werden versendet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SMTP-/SendGrid-Zugangsdaten prüfen; bei SendGrid muss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Username</w:t>
            </w:r>
            <w:r>
              <w:rPr>
                <w:sz w:val="19"/>
                <w:szCs w:val="19"/>
              </w:rPr>
              <w:t xml:space="preserve"> =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apikey</w:t>
            </w:r>
            <w:r>
              <w:rPr>
                <w:sz w:val="19"/>
                <w:szCs w:val="19"/>
              </w:rPr>
              <w:t xml:space="preserve"> sein.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DefaultProvider</w:t>
            </w:r>
            <w:r>
              <w:rPr>
                <w:sz w:val="19"/>
                <w:szCs w:val="19"/>
              </w:rPr>
              <w:t xml:space="preserve"> kontrollieren.</w:t>
            </w:r>
          </w:p>
        </w:tc>
      </w:tr>
      <w:t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Client: HTML-Editor bleibt leer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WebView2 Runtime nicht installiert oder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HTMLEditor.license</w:t>
            </w:r>
            <w:r>
              <w:rPr>
                <w:sz w:val="19"/>
                <w:szCs w:val="19"/>
              </w:rPr>
              <w:t xml:space="preserve"> fehlt.</w:t>
            </w:r>
          </w:p>
        </w:tc>
      </w:tr>
      <w:t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Client: Bild-Upload schlägt fehl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Netzlaufwerk nicht verbunden – Share-Adresse, Zugangsdaten und freien Laufwerksbuchstaben prüfen.</w:t>
            </w:r>
          </w:p>
        </w:tc>
      </w:tr>
      <w:t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Outlook-Import liefert nichts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OutlookSync</w:t>
            </w:r>
            <w:r>
              <w:rPr>
                <w:sz w:val="19"/>
                <w:szCs w:val="19"/>
              </w:rPr>
              <w:t xml:space="preserve">-App-Registrierung, Berechtigungen und Postfach-/Benutzerzuordnung prüfen.</w:t>
            </w:r>
          </w:p>
        </w:tc>
      </w:tr>
      <w:t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ECG-Check meldet Fehler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Erreichbarkeit der RTR-API und gültigen API-Key prüfen; Netzwerk/Proxy kontrollieren.</w:t>
            </w:r>
          </w:p>
        </w:tc>
      </w:tr>
      <w:tr>
        <w:tc>
          <w:tcPr>
            <w:tcW w:type="dxa" w:w="3300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Empfänger erscheint nicht in der Versandliste</w:t>
            </w:r>
          </w:p>
        </w:tc>
        <w:tc>
          <w:tcPr>
            <w:tcW w:type="dxa" w:w="5726"/>
            <w:tcBorders>
              <w:top w:val="single" w:color="C9D2DD" w:sz="1"/>
              <w:left w:val="single" w:color="C9D2DD" w:sz="1"/>
              <w:bottom w:val="single" w:color="C9D2DD" w:sz="1"/>
              <w:right w:val="single" w:color="C9D2DD" w:sz="1"/>
            </w:tcBorders>
            <w:shd w:fill="EEF3F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line="252"/>
            </w:pPr>
            <w:r>
              <w:rPr>
                <w:sz w:val="19"/>
                <w:szCs w:val="19"/>
              </w:rPr>
              <w:t xml:space="preserve">Filter „letzter Versand“ und „Abgemeldet“ prüfen; ggf. </w:t>
            </w:r>
            <w:r>
              <w:rPr>
                <w:rFonts w:ascii="Consolas" w:cs="Consolas" w:eastAsia="Consolas" w:hAnsi="Consolas"/>
                <w:color w:val="B03060"/>
                <w:sz w:val="18"/>
                <w:szCs w:val="18"/>
              </w:rPr>
              <w:t xml:space="preserve">IgnoreLastSendDate</w:t>
            </w:r>
            <w:r>
              <w:rPr>
                <w:sz w:val="19"/>
                <w:szCs w:val="19"/>
              </w:rPr>
              <w:t xml:space="preserve"> setzen.</w:t>
            </w:r>
          </w:p>
        </w:tc>
      </w:tr>
    </w:tbl>
    <w:p>
      <w:pPr>
        <w:pStyle w:val="Heading2"/>
      </w:pPr>
      <w:r>
        <w:t xml:space="preserve">9.1  Laufende Wartung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t xml:space="preserve">MongoDB regelmäßig sichern (Datenbank `newsletter`).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t xml:space="preserve">ECG-Check vor jeder größeren Kampagne ausführen.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t xml:space="preserve">Bounces und Beschwerden im SendGrid-/SMTP-Dashboard beobachten.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t xml:space="preserve">TLS-Zertifikate (Web und ggf. Graph-PFX) rechtzeitig erneuern.</w:t>
      </w:r>
    </w:p>
    <w:p>
      <w:pPr>
        <w:pStyle w:val="ListParagraph"/>
        <w:numPr>
          <w:ilvl w:val="0"/>
          <w:numId w:val="2"/>
        </w:numPr>
        <w:spacing w:after="70" w:line="268"/>
      </w:pPr>
      <w:r>
        <w:t xml:space="preserve">Inaktive Web-Formulare deaktivieren statt löschen, um eingegangene Einsendungen zu erhalten.</w:t>
      </w:r>
    </w:p>
    <w:p>
      <w:pPr>
        <w:spacing w:after="200"/>
      </w:pPr>
    </w:p>
    <w:p>
      <w:pPr>
        <w:pBdr>
          <w:top w:val="single" w:color="1D65B6" w:sz="6" w:space="6"/>
        </w:pBdr>
        <w:spacing w:after="60" w:before="200"/>
      </w:pPr>
      <w:r>
        <w:rPr>
          <w:b/>
          <w:bCs/>
          <w:color w:val="14457E"/>
        </w:rPr>
        <w:t xml:space="preserve">Ende der Anleitung</w:t>
      </w:r>
    </w:p>
    <w:p>
      <w:pPr>
        <w:spacing w:after="140" w:line="276"/>
      </w:pPr>
      <w:r>
        <w:rPr>
          <w:b/>
          <w:bCs/>
          <w:i w:val="false"/>
          <w:iCs w:val="false"/>
        </w:rPr>
        <w:t xml:space="preserve">Hinweis: </w:t>
      </w:r>
      <w:r>
        <w:t xml:space="preserve">Diese Anleitung beschreibt den aus den vorliegenden Projektdateien ableitbaren Stand. Bei Änderungen an Konfiguration, Endpunkten oder Oberfläche sollte sie entsprechend fortgeschrieben werden.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D2DD" w:sz="4" w:space="4"/>
      </w:pBdr>
      <w:jc w:val="center"/>
    </w:pPr>
    <w:r>
      <w:rPr>
        <w:color w:val="8893A0"/>
        <w:sz w:val="16"/>
        <w:szCs w:val="16"/>
      </w:rPr>
      <w:t xml:space="preserve">DieCloud.at    ·    Seite </w:t>
    </w:r>
    <w:r>
      <w:rPr>
        <w:color w:val="8893A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D2DD" w:sz="4" w:space="4"/>
      </w:pBdr>
    </w:pPr>
    <w:r>
      <w:rPr>
        <w:color w:val="8893A0"/>
        <w:sz w:val="16"/>
        <w:szCs w:val="16"/>
      </w:rPr>
      <w:t xml:space="preserve">DieCloud.at Newsletter-System · Benutzer- und Installationsanleitung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2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2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2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2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2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2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2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2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D65B6" w:sz="6" w:space="4"/>
      </w:pBdr>
      <w:spacing w:after="160" w:before="280"/>
      <w:outlineLvl w:val="0"/>
    </w:pPr>
    <w:rPr>
      <w:rFonts w:ascii="Arial" w:cs="Arial" w:eastAsia="Arial" w:hAnsi="Arial"/>
      <w:b/>
      <w:bCs/>
      <w:color w:val="14457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10" w:before="220"/>
      <w:outlineLvl w:val="1"/>
    </w:pPr>
    <w:rPr>
      <w:rFonts w:ascii="Arial" w:cs="Arial" w:eastAsia="Arial" w:hAnsi="Arial"/>
      <w:b/>
      <w:bCs/>
      <w:color w:val="1D6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4457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DieCloud.at Newsletter-System – Benutzer- und Installationsanleitung</dc:title>
  <dc:creator>DieCloud.at</dc:creator>
  <cp:lastModifiedBy>Un-named</cp:lastModifiedBy>
  <cp:revision>1</cp:revision>
  <dcterms:created xsi:type="dcterms:W3CDTF">2026-06-19T02:55:02.063Z</dcterms:created>
  <dcterms:modified xsi:type="dcterms:W3CDTF">2026-06-19T02:55:02.063Z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